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AEFAA" w14:textId="77777777" w:rsidR="00244D9A" w:rsidRPr="00244D9A" w:rsidRDefault="00244D9A" w:rsidP="00244D9A">
      <w:pPr>
        <w:spacing w:after="360" w:line="960" w:lineRule="exact"/>
        <w:outlineLvl w:val="0"/>
        <w:rPr>
          <w:rFonts w:ascii="Arial Black" w:eastAsia="Times New Roman" w:hAnsi="Arial Black" w:cs="Times New Roman"/>
          <w:b/>
          <w:bCs/>
          <w:color w:val="6C93CD"/>
          <w:w w:val="90"/>
          <w:kern w:val="0"/>
          <w:sz w:val="96"/>
          <w:szCs w:val="20"/>
          <w:lang w:val="fr-FR"/>
          <w14:ligatures w14:val="none"/>
        </w:rPr>
      </w:pPr>
      <w:bookmarkStart w:id="0" w:name="_Toc83035547"/>
      <w:bookmarkStart w:id="1" w:name="_Hlk218682886"/>
      <w:r w:rsidRPr="00244D9A">
        <w:rPr>
          <w:rFonts w:ascii="Arial Black" w:eastAsia="Times New Roman" w:hAnsi="Arial Black" w:cs="Times New Roman"/>
          <w:b/>
          <w:bCs/>
          <w:color w:val="6C93CD"/>
          <w:w w:val="90"/>
          <w:kern w:val="0"/>
          <w:sz w:val="96"/>
          <w:szCs w:val="20"/>
          <w:lang w:val="fr-FR"/>
          <w14:ligatures w14:val="none"/>
        </w:rPr>
        <w:t>Avis public</w:t>
      </w:r>
      <w:bookmarkEnd w:id="0"/>
    </w:p>
    <w:p w14:paraId="0CF93D9A" w14:textId="6AEA71CA" w:rsidR="00244D9A" w:rsidRPr="00244D9A" w:rsidRDefault="00994441" w:rsidP="00244D9A">
      <w:pPr>
        <w:spacing w:after="360" w:line="520" w:lineRule="exact"/>
        <w:outlineLvl w:val="1"/>
        <w:rPr>
          <w:rFonts w:ascii="Arial Black" w:eastAsia="Times New Roman" w:hAnsi="Arial Black" w:cs="Times New Roman"/>
          <w:b/>
          <w:bCs/>
          <w:color w:val="6C93CD"/>
          <w:w w:val="90"/>
          <w:kern w:val="0"/>
          <w:sz w:val="52"/>
          <w:szCs w:val="20"/>
          <w:lang w:val="fr-CA"/>
          <w14:ligatures w14:val="none"/>
        </w:rPr>
      </w:pPr>
      <w:bookmarkStart w:id="2" w:name="_Toc83035548"/>
      <w:r w:rsidRPr="00994441">
        <w:rPr>
          <w:rFonts w:ascii="Arial Black" w:eastAsia="Times New Roman" w:hAnsi="Arial Black" w:cs="Times New Roman"/>
          <w:b/>
          <w:bCs/>
          <w:color w:val="6C93CD"/>
          <w:w w:val="90"/>
          <w:kern w:val="0"/>
          <w:sz w:val="52"/>
          <w:szCs w:val="20"/>
          <w:lang w:val="fr-CA"/>
          <w14:ligatures w14:val="none"/>
        </w:rPr>
        <w:t>remplacement de la tour de télécommunications du mont Helmcken</w:t>
      </w:r>
      <w:r w:rsidRPr="00994441">
        <w:rPr>
          <w:rFonts w:ascii="Arial Black" w:eastAsia="Times New Roman" w:hAnsi="Arial Black" w:cs="Times New Roman"/>
          <w:b/>
          <w:bCs/>
          <w:color w:val="6C93CD"/>
          <w:w w:val="90"/>
          <w:kern w:val="0"/>
          <w:sz w:val="52"/>
          <w:szCs w:val="20"/>
          <w:lang w:val="fr-CA"/>
          <w14:ligatures w14:val="none"/>
        </w:rPr>
        <w:t xml:space="preserve"> </w:t>
      </w:r>
      <w:r w:rsidR="00244D9A" w:rsidRPr="00244D9A">
        <w:rPr>
          <w:rFonts w:ascii="Arial Black" w:eastAsia="Times New Roman" w:hAnsi="Arial Black" w:cs="Times New Roman"/>
          <w:b/>
          <w:bCs/>
          <w:color w:val="6C93CD"/>
          <w:w w:val="90"/>
          <w:kern w:val="0"/>
          <w:sz w:val="52"/>
          <w:szCs w:val="20"/>
          <w:lang w:val="fr-CA"/>
          <w14:ligatures w14:val="none"/>
        </w:rPr>
        <w:t>– Période de consultation publique</w:t>
      </w:r>
      <w:bookmarkEnd w:id="2"/>
    </w:p>
    <w:p w14:paraId="50BD058D" w14:textId="0423B3EE" w:rsidR="00244D9A" w:rsidRPr="00244D9A" w:rsidRDefault="00994441" w:rsidP="00244D9A">
      <w:pPr>
        <w:spacing w:after="180" w:line="280" w:lineRule="exact"/>
        <w:rPr>
          <w:rFonts w:ascii="Arial" w:eastAsia="Times New Roman" w:hAnsi="Arial" w:cs="Times New Roman"/>
          <w:kern w:val="0"/>
          <w:sz w:val="20"/>
          <w:szCs w:val="20"/>
          <w:lang w:val="fr-FR"/>
          <w14:ligatures w14:val="none"/>
        </w:rPr>
      </w:pPr>
      <w:r>
        <w:rPr>
          <w:rFonts w:ascii="Arial" w:eastAsia="Times New Roman" w:hAnsi="Arial" w:cs="Times New Roman"/>
          <w:b/>
          <w:kern w:val="0"/>
          <w:sz w:val="20"/>
          <w:szCs w:val="20"/>
          <w:lang w:val="fr-FR"/>
          <w14:ligatures w14:val="none"/>
        </w:rPr>
        <w:t>27 janvier 2026</w:t>
      </w:r>
      <w:r w:rsidR="00244D9A" w:rsidRPr="00244D9A">
        <w:rPr>
          <w:rFonts w:ascii="Arial" w:eastAsia="Times New Roman" w:hAnsi="Arial" w:cs="Times New Roman"/>
          <w:kern w:val="0"/>
          <w:sz w:val="20"/>
          <w:szCs w:val="20"/>
          <w:lang w:val="fr-FR"/>
          <w14:ligatures w14:val="none"/>
        </w:rPr>
        <w:t xml:space="preserve"> – </w:t>
      </w:r>
      <w:r w:rsidRPr="00994441">
        <w:rPr>
          <w:rFonts w:ascii="Arial" w:eastAsia="Times New Roman" w:hAnsi="Arial" w:cs="Times New Roman"/>
          <w:kern w:val="0"/>
          <w:sz w:val="20"/>
          <w:szCs w:val="20"/>
          <w:lang w:val="fr-FR"/>
          <w14:ligatures w14:val="none"/>
        </w:rPr>
        <w:t xml:space="preserve">La Garde côtière canadienne </w:t>
      </w:r>
      <w:r w:rsidR="00244D9A" w:rsidRPr="00244D9A">
        <w:rPr>
          <w:rFonts w:ascii="Arial" w:eastAsia="Times New Roman" w:hAnsi="Arial" w:cs="Times New Roman"/>
          <w:kern w:val="0"/>
          <w:sz w:val="20"/>
          <w:szCs w:val="20"/>
          <w:lang w:val="fr-FR"/>
          <w14:ligatures w14:val="none"/>
        </w:rPr>
        <w:t xml:space="preserve">doit déterminer si le projet proposé </w:t>
      </w:r>
      <w:r w:rsidRPr="00994441">
        <w:rPr>
          <w:rFonts w:ascii="Arial" w:eastAsia="Times New Roman" w:hAnsi="Arial" w:cs="Times New Roman"/>
          <w:kern w:val="0"/>
          <w:sz w:val="20"/>
          <w:szCs w:val="20"/>
          <w:lang w:val="fr-FR"/>
          <w14:ligatures w14:val="none"/>
        </w:rPr>
        <w:t>remplacement de la tour de télécommunications du mont Helmcken</w:t>
      </w:r>
      <w:r w:rsidR="00244D9A" w:rsidRPr="00244D9A">
        <w:rPr>
          <w:rFonts w:ascii="Arial" w:eastAsia="Times New Roman" w:hAnsi="Arial" w:cs="Times New Roman"/>
          <w:kern w:val="0"/>
          <w:sz w:val="20"/>
          <w:szCs w:val="20"/>
          <w:lang w:val="fr-FR"/>
          <w14:ligatures w14:val="none"/>
        </w:rPr>
        <w:t xml:space="preserve">, situé </w:t>
      </w:r>
      <w:r w:rsidR="008D3B1D">
        <w:rPr>
          <w:rFonts w:ascii="Arial" w:eastAsia="Times New Roman" w:hAnsi="Arial" w:cs="Times New Roman"/>
          <w:kern w:val="0"/>
          <w:sz w:val="20"/>
          <w:szCs w:val="20"/>
          <w:lang w:val="fr-FR"/>
          <w14:ligatures w14:val="none"/>
        </w:rPr>
        <w:t xml:space="preserve">sur </w:t>
      </w:r>
      <w:r w:rsidR="008D3B1D" w:rsidRPr="008D3B1D">
        <w:rPr>
          <w:rFonts w:ascii="Arial" w:eastAsia="Times New Roman" w:hAnsi="Arial" w:cs="Times New Roman"/>
          <w:kern w:val="0"/>
          <w:sz w:val="20"/>
          <w:szCs w:val="20"/>
          <w:lang w:val="fr-CA"/>
          <w14:ligatures w14:val="none"/>
        </w:rPr>
        <w:t>le mont Helmcken, situé dans la municipalité de Metchosin, en Colombie-Britannique (C.-B.)</w:t>
      </w:r>
      <w:r w:rsidR="00244D9A" w:rsidRPr="00244D9A">
        <w:rPr>
          <w:rFonts w:ascii="Arial" w:eastAsia="Times New Roman" w:hAnsi="Arial" w:cs="Times New Roman"/>
          <w:kern w:val="0"/>
          <w:sz w:val="20"/>
          <w:szCs w:val="20"/>
          <w:lang w:val="fr-FR"/>
          <w14:ligatures w14:val="none"/>
        </w:rPr>
        <w:t xml:space="preserve"> est susceptible d’entraîner des effets négatifs importants sur l’environnement.</w:t>
      </w:r>
    </w:p>
    <w:p w14:paraId="7E8ACC6F" w14:textId="6DBD38B2" w:rsidR="00244D9A" w:rsidRPr="00244D9A" w:rsidRDefault="00244D9A" w:rsidP="00244D9A">
      <w:pPr>
        <w:spacing w:after="180" w:line="280" w:lineRule="exact"/>
        <w:rPr>
          <w:rFonts w:ascii="Arial" w:eastAsia="Times New Roman" w:hAnsi="Arial" w:cs="Times New Roman"/>
          <w:kern w:val="0"/>
          <w:sz w:val="20"/>
          <w:szCs w:val="20"/>
          <w:lang w:val="fr-FR"/>
          <w14:ligatures w14:val="none"/>
        </w:rPr>
      </w:pPr>
      <w:r w:rsidRPr="00244D9A">
        <w:rPr>
          <w:rFonts w:ascii="Arial" w:eastAsia="Times New Roman" w:hAnsi="Arial" w:cs="Times New Roman"/>
          <w:kern w:val="0"/>
          <w:sz w:val="20"/>
          <w:szCs w:val="20"/>
          <w:lang w:val="fr-FR"/>
          <w14:ligatures w14:val="none"/>
        </w:rPr>
        <w:t xml:space="preserve">Afin de contribuer à une prise de détermination éclairée, </w:t>
      </w:r>
      <w:r w:rsidR="008D3B1D" w:rsidRPr="008D3B1D">
        <w:rPr>
          <w:rFonts w:ascii="Arial" w:eastAsia="Times New Roman" w:hAnsi="Arial" w:cs="Times New Roman"/>
          <w:kern w:val="0"/>
          <w:sz w:val="20"/>
          <w:szCs w:val="20"/>
          <w:lang w:val="fr-FR"/>
          <w14:ligatures w14:val="none"/>
        </w:rPr>
        <w:t xml:space="preserve">La Garde côtière canadienne </w:t>
      </w:r>
      <w:r w:rsidRPr="00244D9A">
        <w:rPr>
          <w:rFonts w:ascii="Arial" w:eastAsia="Times New Roman" w:hAnsi="Arial" w:cs="Times New Roman"/>
          <w:kern w:val="0"/>
          <w:sz w:val="20"/>
          <w:szCs w:val="20"/>
          <w:lang w:val="fr-FR"/>
          <w14:ligatures w14:val="none"/>
        </w:rPr>
        <w:t>invite le public à formuler des commentaires sur cette détermination. Tous les commentaires reçus seront considérés publics et pourraient être publiés en ligne.</w:t>
      </w:r>
    </w:p>
    <w:p w14:paraId="2DD1B2D7" w14:textId="1DBCD30E" w:rsidR="00244D9A" w:rsidRPr="00244D9A" w:rsidRDefault="00244D9A" w:rsidP="00244D9A">
      <w:pPr>
        <w:spacing w:after="180" w:line="280" w:lineRule="exact"/>
        <w:rPr>
          <w:rFonts w:ascii="Arial" w:eastAsia="Times New Roman" w:hAnsi="Arial" w:cs="Times New Roman"/>
          <w:b/>
          <w:kern w:val="0"/>
          <w:sz w:val="20"/>
          <w:szCs w:val="20"/>
          <w:lang w:val="fr-FR"/>
          <w14:ligatures w14:val="none"/>
        </w:rPr>
      </w:pPr>
      <w:r w:rsidRPr="00244D9A">
        <w:rPr>
          <w:rFonts w:ascii="Arial" w:eastAsia="Times New Roman" w:hAnsi="Arial" w:cs="Times New Roman"/>
          <w:kern w:val="0"/>
          <w:sz w:val="20"/>
          <w:szCs w:val="20"/>
          <w:lang w:val="fr-FR"/>
          <w14:ligatures w14:val="none"/>
        </w:rPr>
        <w:t xml:space="preserve">Les commentaires écrits peuvent être présentés </w:t>
      </w:r>
      <w:r w:rsidRPr="00244D9A">
        <w:rPr>
          <w:rFonts w:ascii="Arial" w:eastAsia="Times New Roman" w:hAnsi="Arial" w:cs="Times New Roman"/>
          <w:b/>
          <w:kern w:val="0"/>
          <w:sz w:val="20"/>
          <w:szCs w:val="20"/>
          <w:lang w:val="fr-FR"/>
          <w14:ligatures w14:val="none"/>
        </w:rPr>
        <w:t xml:space="preserve">d’ici le </w:t>
      </w:r>
      <w:r w:rsidR="008D3B1D">
        <w:rPr>
          <w:rFonts w:ascii="Arial" w:eastAsia="Times New Roman" w:hAnsi="Arial" w:cs="Times New Roman"/>
          <w:b/>
          <w:kern w:val="0"/>
          <w:sz w:val="20"/>
          <w:szCs w:val="20"/>
          <w:lang w:val="fr-FR"/>
          <w14:ligatures w14:val="none"/>
        </w:rPr>
        <w:t>27 Février 2026</w:t>
      </w:r>
      <w:r w:rsidRPr="00244D9A">
        <w:rPr>
          <w:rFonts w:ascii="Arial" w:eastAsia="Times New Roman" w:hAnsi="Arial" w:cs="Times New Roman"/>
          <w:b/>
          <w:kern w:val="0"/>
          <w:sz w:val="20"/>
          <w:szCs w:val="20"/>
          <w:lang w:val="fr-FR"/>
          <w14:ligatures w14:val="none"/>
        </w:rPr>
        <w:t xml:space="preserve"> à</w:t>
      </w:r>
      <w:r w:rsidRPr="00244D9A">
        <w:rPr>
          <w:rFonts w:ascii="Arial" w:eastAsia="Times New Roman" w:hAnsi="Arial" w:cs="Times New Roman"/>
          <w:kern w:val="0"/>
          <w:sz w:val="20"/>
          <w:szCs w:val="20"/>
          <w:lang w:val="fr-FR"/>
          <w14:ligatures w14:val="none"/>
        </w:rPr>
        <w:t xml:space="preserve"> :</w:t>
      </w:r>
    </w:p>
    <w:p w14:paraId="5BBAC80B" w14:textId="77777777" w:rsidR="008D3B1D" w:rsidRPr="008D3B1D" w:rsidRDefault="008D3B1D" w:rsidP="008D3B1D">
      <w:pPr>
        <w:spacing w:after="0" w:line="240" w:lineRule="auto"/>
        <w:rPr>
          <w:rFonts w:ascii="Arial" w:eastAsia="Times New Roman" w:hAnsi="Arial" w:cs="Arial"/>
          <w:kern w:val="0"/>
          <w:sz w:val="20"/>
          <w:szCs w:val="20"/>
          <w14:ligatures w14:val="none"/>
        </w:rPr>
      </w:pPr>
      <w:r w:rsidRPr="008D3B1D">
        <w:rPr>
          <w:rFonts w:ascii="Arial" w:eastAsia="Times New Roman" w:hAnsi="Arial" w:cs="Arial"/>
          <w:kern w:val="0"/>
          <w:sz w:val="20"/>
          <w:szCs w:val="20"/>
          <w14:ligatures w14:val="none"/>
        </w:rPr>
        <w:t xml:space="preserve">Canadian Coast Guard – Marine and Civil Infrastructure </w:t>
      </w:r>
    </w:p>
    <w:p w14:paraId="2799453F" w14:textId="77777777" w:rsidR="008D3B1D" w:rsidRPr="008D3B1D" w:rsidRDefault="008D3B1D" w:rsidP="008D3B1D">
      <w:pPr>
        <w:spacing w:after="0" w:line="240" w:lineRule="auto"/>
        <w:rPr>
          <w:rFonts w:ascii="Arial" w:eastAsia="Times New Roman" w:hAnsi="Arial" w:cs="Arial"/>
          <w:kern w:val="0"/>
          <w:sz w:val="20"/>
          <w:szCs w:val="20"/>
          <w:lang w:val="fr-FR"/>
          <w14:ligatures w14:val="none"/>
        </w:rPr>
      </w:pPr>
      <w:r w:rsidRPr="008D3B1D">
        <w:rPr>
          <w:rFonts w:ascii="Arial" w:eastAsia="Times New Roman" w:hAnsi="Arial" w:cs="Arial"/>
          <w:kern w:val="0"/>
          <w:sz w:val="20"/>
          <w:szCs w:val="20"/>
          <w:lang w:val="fr-FR"/>
          <w14:ligatures w14:val="none"/>
        </w:rPr>
        <w:t>25 Huron Street, Victoria B.C.</w:t>
      </w:r>
    </w:p>
    <w:p w14:paraId="3E024B9E" w14:textId="77777777" w:rsidR="008D3B1D" w:rsidRPr="008D3B1D" w:rsidRDefault="008D3B1D" w:rsidP="008D3B1D">
      <w:pPr>
        <w:spacing w:after="0" w:line="240" w:lineRule="auto"/>
        <w:rPr>
          <w:rFonts w:ascii="Arial" w:eastAsia="Times New Roman" w:hAnsi="Arial" w:cs="Arial"/>
          <w:kern w:val="0"/>
          <w:sz w:val="20"/>
          <w:szCs w:val="20"/>
          <w:lang w:val="fr-FR"/>
          <w14:ligatures w14:val="none"/>
        </w:rPr>
      </w:pPr>
      <w:r w:rsidRPr="008D3B1D">
        <w:rPr>
          <w:rFonts w:ascii="Arial" w:eastAsia="Times New Roman" w:hAnsi="Arial" w:cs="Arial"/>
          <w:kern w:val="0"/>
          <w:sz w:val="20"/>
          <w:szCs w:val="20"/>
          <w:lang w:val="fr-FR"/>
          <w14:ligatures w14:val="none"/>
        </w:rPr>
        <w:t>(236) 464-3649</w:t>
      </w:r>
    </w:p>
    <w:p w14:paraId="60C6A6F7" w14:textId="791BBC0B" w:rsidR="00244D9A" w:rsidRPr="00244D9A" w:rsidRDefault="008D3B1D" w:rsidP="008D3B1D">
      <w:pPr>
        <w:spacing w:after="0" w:line="240" w:lineRule="auto"/>
        <w:rPr>
          <w:rFonts w:ascii="Arial" w:eastAsia="Times New Roman" w:hAnsi="Arial" w:cs="Arial"/>
          <w:kern w:val="0"/>
          <w:sz w:val="20"/>
          <w:szCs w:val="20"/>
          <w:lang w:val="fr-FR"/>
          <w14:ligatures w14:val="none"/>
        </w:rPr>
      </w:pPr>
      <w:r w:rsidRPr="008D3B1D">
        <w:rPr>
          <w:rFonts w:ascii="Arial" w:eastAsia="Times New Roman" w:hAnsi="Arial" w:cs="Arial"/>
          <w:kern w:val="0"/>
          <w:sz w:val="20"/>
          <w:szCs w:val="20"/>
          <w:lang w:val="fr-FR"/>
          <w14:ligatures w14:val="none"/>
        </w:rPr>
        <w:t>Jordan.grootendorst@dfo-mpo.gc.ca</w:t>
      </w:r>
      <w:r w:rsidR="00244D9A" w:rsidRPr="00244D9A">
        <w:rPr>
          <w:rFonts w:ascii="Arial" w:eastAsia="Times New Roman" w:hAnsi="Arial" w:cs="Arial"/>
          <w:kern w:val="0"/>
          <w:sz w:val="20"/>
          <w:szCs w:val="20"/>
          <w:lang w:val="fr-FR"/>
          <w14:ligatures w14:val="none"/>
        </w:rPr>
        <w:br/>
      </w:r>
    </w:p>
    <w:p w14:paraId="400028CC" w14:textId="77777777" w:rsidR="00244D9A" w:rsidRPr="00244D9A" w:rsidRDefault="00244D9A" w:rsidP="00244D9A">
      <w:pPr>
        <w:spacing w:after="360" w:line="520" w:lineRule="exact"/>
        <w:outlineLvl w:val="1"/>
        <w:rPr>
          <w:rFonts w:ascii="Arial Black" w:eastAsia="Times New Roman" w:hAnsi="Arial Black" w:cs="Times New Roman"/>
          <w:bCs/>
          <w:color w:val="6C93CD"/>
          <w:w w:val="90"/>
          <w:kern w:val="0"/>
          <w:sz w:val="52"/>
          <w:szCs w:val="20"/>
          <w:lang w:val="fr-CA"/>
          <w14:ligatures w14:val="none"/>
        </w:rPr>
      </w:pPr>
      <w:bookmarkStart w:id="3" w:name="_Toc83035549"/>
      <w:r w:rsidRPr="00244D9A">
        <w:rPr>
          <w:rFonts w:ascii="Arial Black" w:eastAsia="Times New Roman" w:hAnsi="Arial Black" w:cs="Times New Roman"/>
          <w:b/>
          <w:bCs/>
          <w:color w:val="6C93CD"/>
          <w:w w:val="90"/>
          <w:kern w:val="0"/>
          <w:sz w:val="52"/>
          <w:szCs w:val="20"/>
          <w:lang w:val="fr-CA"/>
          <w14:ligatures w14:val="none"/>
        </w:rPr>
        <w:t>Le projet proposé</w:t>
      </w:r>
      <w:bookmarkEnd w:id="3"/>
    </w:p>
    <w:bookmarkEnd w:id="1"/>
    <w:p w14:paraId="0BFD8369" w14:textId="50229981" w:rsidR="008D3B1D" w:rsidRPr="008D3B1D" w:rsidRDefault="008D3B1D" w:rsidP="008D3B1D">
      <w:pPr>
        <w:spacing w:after="180" w:line="280" w:lineRule="exact"/>
        <w:rPr>
          <w:rFonts w:ascii="Arial" w:eastAsia="Times New Roman" w:hAnsi="Arial" w:cs="Times New Roman"/>
          <w:kern w:val="0"/>
          <w:sz w:val="20"/>
          <w:szCs w:val="20"/>
          <w:lang w:val="fr-FR"/>
          <w14:ligatures w14:val="none"/>
        </w:rPr>
      </w:pPr>
      <w:r w:rsidRPr="008D3B1D">
        <w:rPr>
          <w:rFonts w:ascii="Arial" w:eastAsia="Times New Roman" w:hAnsi="Arial" w:cs="Times New Roman"/>
          <w:kern w:val="0"/>
          <w:sz w:val="20"/>
          <w:szCs w:val="20"/>
          <w:lang w:val="fr-FR"/>
          <w14:ligatures w14:val="none"/>
        </w:rPr>
        <w:t>Phase 1 : Les équipes de la GCC arriveront sur le site et retireront les antennes ainsi que l’équipement récupérable de la petite tour située à seize mètres au sud-ouest de la tour haubanée de 61 mètres. L’équipement récupéré sera ensuite installé sur la tour radar existante située au sud du bâtiment principal. Une fois ces travaux terminés, les équipes de la GCC procéderont au démantèlement de la petite tour.</w:t>
      </w:r>
    </w:p>
    <w:p w14:paraId="7DA77414" w14:textId="5A67D9CE" w:rsidR="008D3B1D" w:rsidRPr="008D3B1D" w:rsidRDefault="008D3B1D" w:rsidP="008D3B1D">
      <w:pPr>
        <w:spacing w:after="180" w:line="280" w:lineRule="exact"/>
        <w:rPr>
          <w:rFonts w:ascii="Arial" w:eastAsia="Times New Roman" w:hAnsi="Arial" w:cs="Times New Roman"/>
          <w:kern w:val="0"/>
          <w:sz w:val="20"/>
          <w:szCs w:val="20"/>
          <w:lang w:val="fr-FR"/>
          <w14:ligatures w14:val="none"/>
        </w:rPr>
      </w:pPr>
      <w:r w:rsidRPr="008D3B1D">
        <w:rPr>
          <w:rFonts w:ascii="Arial" w:eastAsia="Times New Roman" w:hAnsi="Arial" w:cs="Times New Roman"/>
          <w:kern w:val="0"/>
          <w:sz w:val="20"/>
          <w:szCs w:val="20"/>
          <w:lang w:val="fr-FR"/>
          <w14:ligatures w14:val="none"/>
        </w:rPr>
        <w:t>Phase 2 : Cette phase comprend la construction de la base en béton de la nouvelle tour. La base sera construite à proximité du bâtiment principal, du côté nord, entre le bâtiment et la tour existante de 61 mètres. Les travaux comprendront le forage de la roche, un certain défrichage de la végétation et l’enlèvement de la couche superficielle du sol, suivis de la construction du coffrage et du coulage du béton. L’emplacement exact, les dimensions et l’espacement de la base de la tour seront déterminés en fonction des spécifications des livrables de la GCC et du plan de tour du contractant.</w:t>
      </w:r>
    </w:p>
    <w:p w14:paraId="222C03B2" w14:textId="5D1B9BE9" w:rsidR="008D3B1D" w:rsidRPr="008D3B1D" w:rsidRDefault="008D3B1D" w:rsidP="008D3B1D">
      <w:pPr>
        <w:spacing w:after="180" w:line="280" w:lineRule="exact"/>
        <w:rPr>
          <w:rFonts w:ascii="Arial" w:eastAsia="Times New Roman" w:hAnsi="Arial" w:cs="Times New Roman"/>
          <w:kern w:val="0"/>
          <w:sz w:val="20"/>
          <w:szCs w:val="20"/>
          <w:lang w:val="fr-FR"/>
          <w14:ligatures w14:val="none"/>
        </w:rPr>
      </w:pPr>
      <w:r w:rsidRPr="008D3B1D">
        <w:rPr>
          <w:rFonts w:ascii="Arial" w:eastAsia="Times New Roman" w:hAnsi="Arial" w:cs="Times New Roman"/>
          <w:kern w:val="0"/>
          <w:sz w:val="20"/>
          <w:szCs w:val="20"/>
          <w:lang w:val="fr-FR"/>
          <w14:ligatures w14:val="none"/>
        </w:rPr>
        <w:t xml:space="preserve">Phase 3 : Une entreprise spécialisée en installation de tours sera retenue pour concevoir et construire la nouvelle tour conformément aux spécifications fournies par la GCC. Le contractant se rendra sur le site et construira la tour sur la nouvelle base. La nouvelle tour autoportante aura une hauteur similaire à celle de </w:t>
      </w:r>
      <w:r w:rsidRPr="008D3B1D">
        <w:rPr>
          <w:rFonts w:ascii="Arial" w:eastAsia="Times New Roman" w:hAnsi="Arial" w:cs="Times New Roman"/>
          <w:kern w:val="0"/>
          <w:sz w:val="20"/>
          <w:szCs w:val="20"/>
          <w:lang w:val="fr-FR"/>
          <w14:ligatures w14:val="none"/>
        </w:rPr>
        <w:lastRenderedPageBreak/>
        <w:t>la tour existante, bien que la hauteur finale soit déterminée par le contractant en fonction des exigences de conception et de structure.</w:t>
      </w:r>
    </w:p>
    <w:p w14:paraId="6FB6A547" w14:textId="0D967AAA" w:rsidR="006F3798" w:rsidRPr="00244D9A" w:rsidRDefault="008D3B1D" w:rsidP="008D3B1D">
      <w:pPr>
        <w:spacing w:after="180" w:line="280" w:lineRule="exact"/>
        <w:rPr>
          <w:lang w:val="fr-FR"/>
        </w:rPr>
      </w:pPr>
      <w:r w:rsidRPr="008D3B1D">
        <w:rPr>
          <w:rFonts w:ascii="Arial" w:eastAsia="Times New Roman" w:hAnsi="Arial" w:cs="Times New Roman"/>
          <w:kern w:val="0"/>
          <w:sz w:val="20"/>
          <w:szCs w:val="20"/>
          <w:lang w:val="fr-FR"/>
          <w14:ligatures w14:val="none"/>
        </w:rPr>
        <w:t>Phase 4 : Enfin, l’équipe de gréage de la GCC retournera sur le site afin de transférer tout l’équipement de télécommunications de la tour existante vers la nouvelle tour. La méthode de démantèlement sera établie en fonction de la méthodologie proposée par le contractant.</w:t>
      </w:r>
    </w:p>
    <w:sectPr w:rsidR="006F3798" w:rsidRPr="00244D9A">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A478F" w14:textId="77777777" w:rsidR="00CD5A18" w:rsidRDefault="00CD5A18" w:rsidP="00CD5A18">
      <w:pPr>
        <w:spacing w:after="0" w:line="240" w:lineRule="auto"/>
      </w:pPr>
      <w:r>
        <w:separator/>
      </w:r>
    </w:p>
  </w:endnote>
  <w:endnote w:type="continuationSeparator" w:id="0">
    <w:p w14:paraId="6CCD22CC" w14:textId="77777777" w:rsidR="00CD5A18" w:rsidRDefault="00CD5A18" w:rsidP="00CD5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DC6E5" w14:textId="77777777" w:rsidR="00CD5A18" w:rsidRDefault="00CD5A18" w:rsidP="00CD5A18">
      <w:pPr>
        <w:spacing w:after="0" w:line="240" w:lineRule="auto"/>
      </w:pPr>
      <w:r>
        <w:separator/>
      </w:r>
    </w:p>
  </w:footnote>
  <w:footnote w:type="continuationSeparator" w:id="0">
    <w:p w14:paraId="10E3BBE0" w14:textId="77777777" w:rsidR="00CD5A18" w:rsidRDefault="00CD5A18" w:rsidP="00CD5A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36025" w14:textId="77777777" w:rsidR="00CD5A18" w:rsidRDefault="00CD5A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C134F" w14:textId="77777777" w:rsidR="00CD5A18" w:rsidRDefault="00CD5A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DF57D" w14:textId="77777777" w:rsidR="00CD5A18" w:rsidRDefault="00CD5A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564ED8"/>
    <w:multiLevelType w:val="hybridMultilevel"/>
    <w:tmpl w:val="CEA05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2217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882"/>
    <w:rsid w:val="001165D8"/>
    <w:rsid w:val="00244D9A"/>
    <w:rsid w:val="002A60DA"/>
    <w:rsid w:val="002E66B8"/>
    <w:rsid w:val="005833E1"/>
    <w:rsid w:val="00627B36"/>
    <w:rsid w:val="006F3798"/>
    <w:rsid w:val="00855882"/>
    <w:rsid w:val="008D3B1D"/>
    <w:rsid w:val="009635CB"/>
    <w:rsid w:val="00994441"/>
    <w:rsid w:val="00AF0D54"/>
    <w:rsid w:val="00BF6999"/>
    <w:rsid w:val="00CD5A18"/>
    <w:rsid w:val="00F52A4F"/>
    <w:rsid w:val="00FD4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8C19A"/>
  <w15:chartTrackingRefBased/>
  <w15:docId w15:val="{C1EA221F-E921-40B6-9AFE-BDF690EE4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58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58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58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58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58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58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58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58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58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8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58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58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58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58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58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58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58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5882"/>
    <w:rPr>
      <w:rFonts w:eastAsiaTheme="majorEastAsia" w:cstheme="majorBidi"/>
      <w:color w:val="272727" w:themeColor="text1" w:themeTint="D8"/>
    </w:rPr>
  </w:style>
  <w:style w:type="paragraph" w:styleId="Title">
    <w:name w:val="Title"/>
    <w:basedOn w:val="Normal"/>
    <w:next w:val="Normal"/>
    <w:link w:val="TitleChar"/>
    <w:uiPriority w:val="10"/>
    <w:qFormat/>
    <w:rsid w:val="008558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58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58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58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5882"/>
    <w:pPr>
      <w:spacing w:before="160"/>
      <w:jc w:val="center"/>
    </w:pPr>
    <w:rPr>
      <w:i/>
      <w:iCs/>
      <w:color w:val="404040" w:themeColor="text1" w:themeTint="BF"/>
    </w:rPr>
  </w:style>
  <w:style w:type="character" w:customStyle="1" w:styleId="QuoteChar">
    <w:name w:val="Quote Char"/>
    <w:basedOn w:val="DefaultParagraphFont"/>
    <w:link w:val="Quote"/>
    <w:uiPriority w:val="29"/>
    <w:rsid w:val="00855882"/>
    <w:rPr>
      <w:i/>
      <w:iCs/>
      <w:color w:val="404040" w:themeColor="text1" w:themeTint="BF"/>
    </w:rPr>
  </w:style>
  <w:style w:type="paragraph" w:styleId="ListParagraph">
    <w:name w:val="List Paragraph"/>
    <w:basedOn w:val="Normal"/>
    <w:uiPriority w:val="34"/>
    <w:qFormat/>
    <w:rsid w:val="00855882"/>
    <w:pPr>
      <w:ind w:left="720"/>
      <w:contextualSpacing/>
    </w:pPr>
  </w:style>
  <w:style w:type="character" w:styleId="IntenseEmphasis">
    <w:name w:val="Intense Emphasis"/>
    <w:basedOn w:val="DefaultParagraphFont"/>
    <w:uiPriority w:val="21"/>
    <w:qFormat/>
    <w:rsid w:val="00855882"/>
    <w:rPr>
      <w:i/>
      <w:iCs/>
      <w:color w:val="0F4761" w:themeColor="accent1" w:themeShade="BF"/>
    </w:rPr>
  </w:style>
  <w:style w:type="paragraph" w:styleId="IntenseQuote">
    <w:name w:val="Intense Quote"/>
    <w:basedOn w:val="Normal"/>
    <w:next w:val="Normal"/>
    <w:link w:val="IntenseQuoteChar"/>
    <w:uiPriority w:val="30"/>
    <w:qFormat/>
    <w:rsid w:val="008558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5882"/>
    <w:rPr>
      <w:i/>
      <w:iCs/>
      <w:color w:val="0F4761" w:themeColor="accent1" w:themeShade="BF"/>
    </w:rPr>
  </w:style>
  <w:style w:type="character" w:styleId="IntenseReference">
    <w:name w:val="Intense Reference"/>
    <w:basedOn w:val="DefaultParagraphFont"/>
    <w:uiPriority w:val="32"/>
    <w:qFormat/>
    <w:rsid w:val="00855882"/>
    <w:rPr>
      <w:b/>
      <w:bCs/>
      <w:smallCaps/>
      <w:color w:val="0F4761" w:themeColor="accent1" w:themeShade="BF"/>
      <w:spacing w:val="5"/>
    </w:rPr>
  </w:style>
  <w:style w:type="paragraph" w:styleId="Header">
    <w:name w:val="header"/>
    <w:basedOn w:val="Normal"/>
    <w:link w:val="HeaderChar"/>
    <w:uiPriority w:val="99"/>
    <w:unhideWhenUsed/>
    <w:rsid w:val="00CD5A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Grootendorst, Jordan (DFO/MPO)</dc:creator>
  <cp:keywords/>
  <dc:description/>
  <cp:lastModifiedBy>Grootendorst, Jordan (DFO/MPO)</cp:lastModifiedBy>
  <cp:revision>3</cp:revision>
  <dcterms:created xsi:type="dcterms:W3CDTF">2026-01-27T19:22:00Z</dcterms:created>
  <dcterms:modified xsi:type="dcterms:W3CDTF">2026-01-27T19:36:00Z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6cdb53-fd15-486d-84de-c510e3a62203_Enabled">
    <vt:lpwstr>true</vt:lpwstr>
  </property>
  <property fmtid="{D5CDD505-2E9C-101B-9397-08002B2CF9AE}" pid="3" name="MSIP_Label_4e6cdb53-fd15-486d-84de-c510e3a62203_SetDate">
    <vt:lpwstr>2026-01-27T19:22:02Z</vt:lpwstr>
  </property>
  <property fmtid="{D5CDD505-2E9C-101B-9397-08002B2CF9AE}" pid="4" name="MSIP_Label_4e6cdb53-fd15-486d-84de-c510e3a62203_Method">
    <vt:lpwstr>Standard</vt:lpwstr>
  </property>
  <property fmtid="{D5CDD505-2E9C-101B-9397-08002B2CF9AE}" pid="5" name="MSIP_Label_4e6cdb53-fd15-486d-84de-c510e3a62203_Name">
    <vt:lpwstr>UNCLASSIFIED - NON-CLASSIFIÉ</vt:lpwstr>
  </property>
  <property fmtid="{D5CDD505-2E9C-101B-9397-08002B2CF9AE}" pid="6" name="MSIP_Label_4e6cdb53-fd15-486d-84de-c510e3a62203_SiteId">
    <vt:lpwstr>1594fdae-a1d9-4405-915d-011467234338</vt:lpwstr>
  </property>
  <property fmtid="{D5CDD505-2E9C-101B-9397-08002B2CF9AE}" pid="7" name="MSIP_Label_4e6cdb53-fd15-486d-84de-c510e3a62203_ActionId">
    <vt:lpwstr>1614c0a8-4cf2-4bb9-956e-ee7b72ad22a4</vt:lpwstr>
  </property>
  <property fmtid="{D5CDD505-2E9C-101B-9397-08002B2CF9AE}" pid="8" name="MSIP_Label_4e6cdb53-fd15-486d-84de-c510e3a62203_ContentBits">
    <vt:lpwstr>1</vt:lpwstr>
  </property>
  <property fmtid="{D5CDD505-2E9C-101B-9397-08002B2CF9AE}" pid="9" name="MSIP_Label_4e6cdb53-fd15-486d-84de-c510e3a62203_Tag">
    <vt:lpwstr>10, 3, 0, 1</vt:lpwstr>
  </property>
</Properties>
</file>