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69C62" w14:textId="64CC528F" w:rsidR="00055D3A" w:rsidRPr="00055D3A" w:rsidRDefault="006B1EAC" w:rsidP="00055D3A">
      <w:pPr>
        <w:pStyle w:val="Heading1"/>
        <w:rPr>
          <w:rFonts w:ascii="Arial Black" w:eastAsia="Times New Roman" w:hAnsi="Arial Black" w:cs="Times New Roman"/>
          <w:b/>
          <w:bCs/>
          <w:color w:val="6C93CD"/>
          <w:w w:val="90"/>
          <w:kern w:val="0"/>
          <w:sz w:val="96"/>
          <w:szCs w:val="20"/>
          <w:lang w:val="fr-FR"/>
          <w14:ligatures w14:val="none"/>
        </w:rPr>
      </w:pPr>
      <w:bookmarkStart w:id="0" w:name="_Toc83035543"/>
      <w:r>
        <w:rPr>
          <w:noProof/>
        </w:rPr>
        <mc:AlternateContent>
          <mc:Choice Requires="wps">
            <w:drawing>
              <wp:anchor distT="0" distB="0" distL="114300" distR="114300" simplePos="0" relativeHeight="251659264" behindDoc="0" locked="0" layoutInCell="1" allowOverlap="1" wp14:anchorId="77FAD2A6" wp14:editId="558FD56A">
                <wp:simplePos x="0" y="0"/>
                <wp:positionH relativeFrom="column">
                  <wp:posOffset>-91440</wp:posOffset>
                </wp:positionH>
                <wp:positionV relativeFrom="paragraph">
                  <wp:posOffset>251460</wp:posOffset>
                </wp:positionV>
                <wp:extent cx="6057900" cy="8107680"/>
                <wp:effectExtent l="0" t="0" r="19050" b="26670"/>
                <wp:wrapNone/>
                <wp:docPr id="80126504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0" cy="8107680"/>
                        </a:xfrm>
                        <a:prstGeom prst="rect">
                          <a:avLst/>
                        </a:prstGeom>
                        <a:noFill/>
                        <a:ln w="12700" cap="flat" cmpd="sng" algn="ctr">
                          <a:solidFill>
                            <a:srgbClr val="6C92C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2CD2F2" id="Rectangle 1" o:spid="_x0000_s1026" style="position:absolute;margin-left:-7.2pt;margin-top:19.8pt;width:477pt;height:6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rSNawIAAN0EAAAOAAAAZHJzL2Uyb0RvYy54bWysVE1vGjEQvVfqf7B8b3ZBCSSrLBECUVVC&#10;SSRS5Tx4bdaqv2oblvTXd+xdCEp7qsrBmvHMvpl5fsP9w1ErcuA+SGtqOroqKeGG2UaaXU2/v6y+&#10;3FISIpgGlDW8pm880IfZ50/3nav42LZWNdwTBDGh6lxN2xhdVRSBtVxDuLKOGwwK6zVEdP2uaDx0&#10;iK5VMS7LSdFZ3zhvGQ8Bb5d9kM4yvhCcxSchAo9E1RR7i/n0+dyms5jdQ7Xz4FrJhjbgH7rQIA0W&#10;PUMtIQLZe/kHlJbM22BFvGJWF1YIyXieAacZlR+m2bTgeJ4FyQnuTFP4f7Ds8bBxzz61Htzash8B&#10;GSk6F6pzJDlhyDkKr1MuNk6OmcW3M4v8GAnDy0l5M70rkWyGsdtROZ3cZp4LqE6fOx/iV241SUZN&#10;PT5TZg8O6xBTA1CdUlI1Y1dSqfxUypAOdTae5gKAihEKItbSrqlpMDtKQO1Qiiz6DBmskk36PI/o&#10;d9uF8uQAKIfJ4m68WPRJLTS8v70p8ZdkgT2EPr23L3FSc0sIbf9JLtErScuIclZS4+QJ6ISkTCrP&#10;syCHEd9pTdbWNm/PnnjbKzQ4tpJYZA0hPoNHSSKfuGbxCQ+hLHJgB4uS1vpff7tP+agUjFLSocSR&#10;n5978JwS9c2ghu5G19dpJ7JzfTMdo+MvI9vLiNnrhUXaRrjQjmUz5Ud1MoW3+hW3cZ6qYggMw9r9&#10;SwzOIvarh/vM+Hye03APHMS12TiWwBNPid6X4yt4NwgkorYe7WkdoPqgkz63V8p8H62QWUTvvA6S&#10;xh3Kbznse1rSSz9nvf8rzX4DAAD//wMAUEsDBBQABgAIAAAAIQAi1kam4AAAAAsBAAAPAAAAZHJz&#10;L2Rvd25yZXYueG1sTI/BToNAEIbvJr7DZky8tQuWkoIsjdE0Hry01UO9LTACcXeWsFuKb+/oRW8z&#10;mS//fH+xna0RE46+d6QgXkYgkGrX9NQqeHvdLTYgfNDUaOMIFXyhh215fVXovHEXOuB0DK3gEPK5&#10;VtCFMORS+rpDq/3SDUh8+3Cj1YHXsZXNqC8cbo28i6JUWt0Tf+j0gI8d1p/Hs1Ww3mTvbj0dnk/u&#10;5ZTRvjL7p51R6vZmfrgHEXAOfzD86LM6lOxUuTM1XhgFizhJGFWwylIQDGS/Q8XkKk4TkGUh/3co&#10;vwEAAP//AwBQSwECLQAUAAYACAAAACEAtoM4kv4AAADhAQAAEwAAAAAAAAAAAAAAAAAAAAAAW0Nv&#10;bnRlbnRfVHlwZXNdLnhtbFBLAQItABQABgAIAAAAIQA4/SH/1gAAAJQBAAALAAAAAAAAAAAAAAAA&#10;AC8BAABfcmVscy8ucmVsc1BLAQItABQABgAIAAAAIQC6hrSNawIAAN0EAAAOAAAAAAAAAAAAAAAA&#10;AC4CAABkcnMvZTJvRG9jLnhtbFBLAQItABQABgAIAAAAIQAi1kam4AAAAAsBAAAPAAAAAAAAAAAA&#10;AAAAAMUEAABkcnMvZG93bnJldi54bWxQSwUGAAAAAAQABADzAAAA0gUAAAAA&#10;" filled="f" strokecolor="#4d6a95" strokeweight="1pt">
                <v:path arrowok="t"/>
              </v:rect>
            </w:pict>
          </mc:Fallback>
        </mc:AlternateContent>
      </w:r>
      <w:bookmarkStart w:id="1" w:name="_Toc83035547"/>
      <w:bookmarkEnd w:id="0"/>
      <w:r w:rsidR="00055D3A" w:rsidRPr="00055D3A">
        <w:rPr>
          <w:rFonts w:ascii="Arial Black" w:eastAsia="Times New Roman" w:hAnsi="Arial Black" w:cs="Times New Roman"/>
          <w:b/>
          <w:bCs/>
          <w:color w:val="6C93CD"/>
          <w:w w:val="90"/>
          <w:kern w:val="0"/>
          <w:sz w:val="96"/>
          <w:szCs w:val="20"/>
          <w:lang w:val="fr-FR"/>
          <w14:ligatures w14:val="none"/>
        </w:rPr>
        <w:t>Avis public</w:t>
      </w:r>
      <w:bookmarkEnd w:id="1"/>
    </w:p>
    <w:p w14:paraId="0FBA354B" w14:textId="77777777" w:rsidR="00055D3A" w:rsidRPr="00055D3A" w:rsidRDefault="00055D3A" w:rsidP="00055D3A">
      <w:pPr>
        <w:spacing w:after="360" w:line="520" w:lineRule="exact"/>
        <w:outlineLvl w:val="1"/>
        <w:rPr>
          <w:rFonts w:ascii="Arial Black" w:eastAsia="Times New Roman" w:hAnsi="Arial Black" w:cs="Times New Roman"/>
          <w:b/>
          <w:bCs/>
          <w:color w:val="6C93CD"/>
          <w:w w:val="90"/>
          <w:kern w:val="0"/>
          <w:sz w:val="52"/>
          <w:szCs w:val="20"/>
          <w:lang w:val="fr-CA"/>
          <w14:ligatures w14:val="none"/>
        </w:rPr>
      </w:pPr>
      <w:bookmarkStart w:id="2" w:name="_Toc83035548"/>
      <w:r w:rsidRPr="00055D3A">
        <w:rPr>
          <w:rFonts w:ascii="Arial Black" w:eastAsia="Times New Roman" w:hAnsi="Arial Black" w:cs="Times New Roman"/>
          <w:b/>
          <w:bCs/>
          <w:color w:val="6C93CD"/>
          <w:w w:val="90"/>
          <w:kern w:val="0"/>
          <w:sz w:val="52"/>
          <w:szCs w:val="20"/>
          <w:lang w:val="fr-CA"/>
          <w14:ligatures w14:val="none"/>
        </w:rPr>
        <w:t>[Nom du projet] – Période de consultation publique</w:t>
      </w:r>
      <w:bookmarkEnd w:id="2"/>
    </w:p>
    <w:p w14:paraId="759B41FA" w14:textId="033C2845" w:rsidR="00055D3A" w:rsidRPr="00055D3A" w:rsidRDefault="00055D3A" w:rsidP="00055D3A">
      <w:pPr>
        <w:spacing w:after="180" w:line="280" w:lineRule="exact"/>
        <w:rPr>
          <w:rFonts w:ascii="Arial" w:eastAsia="Times New Roman" w:hAnsi="Arial" w:cs="Times New Roman"/>
          <w:kern w:val="0"/>
          <w:sz w:val="20"/>
          <w:szCs w:val="20"/>
          <w:lang w:val="fr-FR"/>
          <w14:ligatures w14:val="none"/>
        </w:rPr>
      </w:pPr>
      <w:r w:rsidRPr="00055D3A">
        <w:rPr>
          <w:rFonts w:ascii="Arial" w:eastAsia="Times New Roman" w:hAnsi="Arial" w:cs="Times New Roman"/>
          <w:b/>
          <w:kern w:val="0"/>
          <w:sz w:val="20"/>
          <w:szCs w:val="20"/>
          <w:lang w:val="fr-FR"/>
          <w14:ligatures w14:val="none"/>
        </w:rPr>
        <w:t>[</w:t>
      </w:r>
      <w:r>
        <w:rPr>
          <w:rFonts w:ascii="Arial" w:eastAsia="Times New Roman" w:hAnsi="Arial" w:cs="Times New Roman"/>
          <w:b/>
          <w:kern w:val="0"/>
          <w:sz w:val="20"/>
          <w:szCs w:val="20"/>
          <w:lang w:val="fr-FR"/>
          <w14:ligatures w14:val="none"/>
        </w:rPr>
        <w:t>30 avril, 2025</w:t>
      </w:r>
      <w:r w:rsidRPr="00055D3A">
        <w:rPr>
          <w:rFonts w:ascii="Arial" w:eastAsia="Times New Roman" w:hAnsi="Arial" w:cs="Times New Roman"/>
          <w:b/>
          <w:kern w:val="0"/>
          <w:sz w:val="20"/>
          <w:szCs w:val="20"/>
          <w:lang w:val="fr-FR"/>
          <w14:ligatures w14:val="none"/>
        </w:rPr>
        <w:t>]</w:t>
      </w:r>
      <w:r w:rsidRPr="00055D3A">
        <w:rPr>
          <w:rFonts w:ascii="Arial" w:eastAsia="Times New Roman" w:hAnsi="Arial" w:cs="Times New Roman"/>
          <w:kern w:val="0"/>
          <w:sz w:val="20"/>
          <w:szCs w:val="20"/>
          <w:lang w:val="fr-FR"/>
          <w14:ligatures w14:val="none"/>
        </w:rPr>
        <w:t xml:space="preserve"> – </w:t>
      </w:r>
      <w:bookmarkStart w:id="3" w:name="_Hlk196905298"/>
      <w:r>
        <w:rPr>
          <w:rFonts w:ascii="Arial" w:eastAsia="Times New Roman" w:hAnsi="Arial" w:cs="Times New Roman"/>
          <w:kern w:val="0"/>
          <w:sz w:val="20"/>
          <w:szCs w:val="20"/>
          <w:lang w:val="fr-FR"/>
          <w14:ligatures w14:val="none"/>
        </w:rPr>
        <w:t>Garde côtière canadienne</w:t>
      </w:r>
      <w:r w:rsidRPr="00055D3A">
        <w:rPr>
          <w:rFonts w:ascii="Arial" w:eastAsia="Times New Roman" w:hAnsi="Arial" w:cs="Times New Roman"/>
          <w:kern w:val="0"/>
          <w:sz w:val="20"/>
          <w:szCs w:val="20"/>
          <w:lang w:val="fr-FR"/>
          <w14:ligatures w14:val="none"/>
        </w:rPr>
        <w:t xml:space="preserve"> </w:t>
      </w:r>
      <w:bookmarkEnd w:id="3"/>
      <w:r w:rsidRPr="00055D3A">
        <w:rPr>
          <w:rFonts w:ascii="Arial" w:eastAsia="Times New Roman" w:hAnsi="Arial" w:cs="Times New Roman"/>
          <w:kern w:val="0"/>
          <w:sz w:val="20"/>
          <w:szCs w:val="20"/>
          <w:lang w:val="fr-FR"/>
          <w14:ligatures w14:val="none"/>
        </w:rPr>
        <w:t>doit déterminer si le projet proposé</w:t>
      </w:r>
      <w:r w:rsidRPr="00055D3A">
        <w:rPr>
          <w:lang w:val="fr-FR"/>
        </w:rPr>
        <w:t xml:space="preserve"> </w:t>
      </w:r>
      <w:r w:rsidRPr="00055D3A">
        <w:rPr>
          <w:lang w:val="fr-FR"/>
        </w:rPr>
        <w:t>Reconstruction du phare de Gull Harbour</w:t>
      </w:r>
      <w:r w:rsidRPr="00055D3A">
        <w:rPr>
          <w:rFonts w:ascii="Arial" w:eastAsia="Times New Roman" w:hAnsi="Arial" w:cs="Times New Roman"/>
          <w:kern w:val="0"/>
          <w:sz w:val="20"/>
          <w:szCs w:val="20"/>
          <w:lang w:val="fr-FR"/>
          <w14:ligatures w14:val="none"/>
        </w:rPr>
        <w:t xml:space="preserve">, situé à </w:t>
      </w:r>
      <w:r>
        <w:rPr>
          <w:rFonts w:ascii="Arial" w:eastAsia="Times New Roman" w:hAnsi="Arial" w:cs="Times New Roman"/>
          <w:kern w:val="0"/>
          <w:sz w:val="20"/>
          <w:szCs w:val="20"/>
          <w:lang w:val="fr-FR"/>
          <w14:ligatures w14:val="none"/>
        </w:rPr>
        <w:t>Lac Winnipeg, Manitoba</w:t>
      </w:r>
      <w:r w:rsidRPr="00055D3A">
        <w:rPr>
          <w:rFonts w:ascii="Arial" w:eastAsia="Times New Roman" w:hAnsi="Arial" w:cs="Times New Roman"/>
          <w:kern w:val="0"/>
          <w:sz w:val="20"/>
          <w:szCs w:val="20"/>
          <w:lang w:val="fr-FR"/>
          <w14:ligatures w14:val="none"/>
        </w:rPr>
        <w:t xml:space="preserve"> est susceptible d’entraîner des effets négatifs importants sur l’environnement.</w:t>
      </w:r>
    </w:p>
    <w:p w14:paraId="603F1BD0" w14:textId="3719FD63" w:rsidR="00055D3A" w:rsidRPr="00055D3A" w:rsidRDefault="00055D3A" w:rsidP="00055D3A">
      <w:pPr>
        <w:spacing w:after="180" w:line="280" w:lineRule="exact"/>
        <w:rPr>
          <w:rFonts w:ascii="Arial" w:eastAsia="Times New Roman" w:hAnsi="Arial" w:cs="Times New Roman"/>
          <w:kern w:val="0"/>
          <w:sz w:val="20"/>
          <w:szCs w:val="20"/>
          <w:lang w:val="fr-FR"/>
          <w14:ligatures w14:val="none"/>
        </w:rPr>
      </w:pPr>
      <w:r w:rsidRPr="00055D3A">
        <w:rPr>
          <w:rFonts w:ascii="Arial" w:eastAsia="Times New Roman" w:hAnsi="Arial" w:cs="Times New Roman"/>
          <w:kern w:val="0"/>
          <w:sz w:val="20"/>
          <w:szCs w:val="20"/>
          <w:lang w:val="fr-FR"/>
          <w14:ligatures w14:val="none"/>
        </w:rPr>
        <w:t>Afin de contribuer à une prise de détermination éclairée,</w:t>
      </w:r>
      <w:r w:rsidRPr="00055D3A">
        <w:rPr>
          <w:rFonts w:ascii="Arial" w:eastAsia="Times New Roman" w:hAnsi="Arial" w:cs="Times New Roman"/>
          <w:kern w:val="0"/>
          <w:sz w:val="20"/>
          <w:szCs w:val="20"/>
          <w:lang w:val="fr-FR"/>
          <w14:ligatures w14:val="none"/>
        </w:rPr>
        <w:t xml:space="preserve"> </w:t>
      </w:r>
      <w:r>
        <w:rPr>
          <w:rFonts w:ascii="Arial" w:eastAsia="Times New Roman" w:hAnsi="Arial" w:cs="Times New Roman"/>
          <w:kern w:val="0"/>
          <w:sz w:val="20"/>
          <w:szCs w:val="20"/>
          <w:lang w:val="fr-FR"/>
          <w14:ligatures w14:val="none"/>
        </w:rPr>
        <w:t>Garde côtière canadienne</w:t>
      </w:r>
      <w:r w:rsidRPr="00055D3A">
        <w:rPr>
          <w:rFonts w:ascii="Arial" w:eastAsia="Times New Roman" w:hAnsi="Arial" w:cs="Times New Roman"/>
          <w:kern w:val="0"/>
          <w:sz w:val="20"/>
          <w:szCs w:val="20"/>
          <w:lang w:val="fr-FR"/>
          <w14:ligatures w14:val="none"/>
        </w:rPr>
        <w:t xml:space="preserve"> invite le public à formuler des commentaires sur cette détermination. Tous les commentaires reçus seront considérés publics et pourraient être publiés en ligne.</w:t>
      </w:r>
    </w:p>
    <w:p w14:paraId="701AEE79" w14:textId="00ABCE4E" w:rsidR="00055D3A" w:rsidRPr="00055D3A" w:rsidRDefault="00055D3A" w:rsidP="00055D3A">
      <w:pPr>
        <w:spacing w:after="180" w:line="280" w:lineRule="exact"/>
        <w:rPr>
          <w:rFonts w:ascii="Arial" w:eastAsia="Times New Roman" w:hAnsi="Arial" w:cs="Times New Roman"/>
          <w:b/>
          <w:kern w:val="0"/>
          <w:sz w:val="20"/>
          <w:szCs w:val="20"/>
          <w:lang w:val="fr-FR"/>
          <w14:ligatures w14:val="none"/>
        </w:rPr>
      </w:pPr>
      <w:r w:rsidRPr="00055D3A">
        <w:rPr>
          <w:rFonts w:ascii="Arial" w:eastAsia="Times New Roman" w:hAnsi="Arial" w:cs="Times New Roman"/>
          <w:kern w:val="0"/>
          <w:sz w:val="20"/>
          <w:szCs w:val="20"/>
          <w:lang w:val="fr-FR"/>
          <w14:ligatures w14:val="none"/>
        </w:rPr>
        <w:t xml:space="preserve">Les commentaires écrits peuvent être présentés </w:t>
      </w:r>
      <w:r w:rsidRPr="00055D3A">
        <w:rPr>
          <w:rFonts w:ascii="Arial" w:eastAsia="Times New Roman" w:hAnsi="Arial" w:cs="Times New Roman"/>
          <w:b/>
          <w:kern w:val="0"/>
          <w:sz w:val="20"/>
          <w:szCs w:val="20"/>
          <w:lang w:val="fr-FR"/>
          <w14:ligatures w14:val="none"/>
        </w:rPr>
        <w:t xml:space="preserve">d’ici le </w:t>
      </w:r>
      <w:r>
        <w:rPr>
          <w:rFonts w:ascii="Arial" w:eastAsia="Times New Roman" w:hAnsi="Arial" w:cs="Times New Roman"/>
          <w:b/>
          <w:kern w:val="0"/>
          <w:sz w:val="20"/>
          <w:szCs w:val="20"/>
          <w:lang w:val="fr-FR"/>
          <w14:ligatures w14:val="none"/>
        </w:rPr>
        <w:t>30 mai, 2025</w:t>
      </w:r>
      <w:r w:rsidRPr="00055D3A">
        <w:rPr>
          <w:rFonts w:ascii="Arial" w:eastAsia="Times New Roman" w:hAnsi="Arial" w:cs="Times New Roman"/>
          <w:b/>
          <w:kern w:val="0"/>
          <w:sz w:val="20"/>
          <w:szCs w:val="20"/>
          <w:lang w:val="fr-FR"/>
          <w14:ligatures w14:val="none"/>
        </w:rPr>
        <w:t xml:space="preserve"> à</w:t>
      </w:r>
      <w:r w:rsidRPr="00055D3A">
        <w:rPr>
          <w:rFonts w:ascii="Arial" w:eastAsia="Times New Roman" w:hAnsi="Arial" w:cs="Times New Roman"/>
          <w:kern w:val="0"/>
          <w:sz w:val="20"/>
          <w:szCs w:val="20"/>
          <w:lang w:val="fr-FR"/>
          <w14:ligatures w14:val="none"/>
        </w:rPr>
        <w:t xml:space="preserve"> :</w:t>
      </w:r>
    </w:p>
    <w:p w14:paraId="543B9815" w14:textId="7E09A303" w:rsidR="00055D3A" w:rsidRPr="00055D3A" w:rsidRDefault="00055D3A" w:rsidP="00055D3A">
      <w:pPr>
        <w:spacing w:after="0" w:line="240" w:lineRule="auto"/>
        <w:rPr>
          <w:rFonts w:ascii="Arial" w:eastAsia="Times New Roman" w:hAnsi="Arial" w:cs="Arial"/>
          <w:kern w:val="0"/>
          <w:sz w:val="20"/>
          <w:szCs w:val="20"/>
          <w14:ligatures w14:val="none"/>
        </w:rPr>
      </w:pPr>
      <w:r w:rsidRPr="00055D3A">
        <w:rPr>
          <w:rFonts w:ascii="Arial" w:eastAsia="Times New Roman" w:hAnsi="Arial" w:cs="Arial"/>
          <w:kern w:val="0"/>
          <w:sz w:val="20"/>
          <w:szCs w:val="20"/>
          <w14:ligatures w14:val="none"/>
        </w:rPr>
        <w:t>Jordan Grootendorst</w:t>
      </w:r>
      <w:r w:rsidRPr="00055D3A">
        <w:rPr>
          <w:rFonts w:ascii="Arial" w:eastAsia="Times New Roman" w:hAnsi="Arial" w:cs="Arial"/>
          <w:kern w:val="0"/>
          <w:sz w:val="20"/>
          <w:szCs w:val="20"/>
          <w14:ligatures w14:val="none"/>
        </w:rPr>
        <w:br/>
      </w:r>
      <w:r w:rsidRPr="00055D3A">
        <w:rPr>
          <w:rFonts w:ascii="Arial" w:eastAsia="Times New Roman" w:hAnsi="Arial" w:cs="Arial"/>
          <w:kern w:val="0"/>
          <w:sz w:val="20"/>
          <w:szCs w:val="20"/>
          <w14:ligatures w14:val="none"/>
        </w:rPr>
        <w:t>25 Huron Street, Victoria B.C. Canada</w:t>
      </w:r>
      <w:r w:rsidRPr="00055D3A">
        <w:rPr>
          <w:rFonts w:ascii="Arial" w:eastAsia="Times New Roman" w:hAnsi="Arial" w:cs="Arial"/>
          <w:kern w:val="0"/>
          <w:sz w:val="20"/>
          <w:szCs w:val="20"/>
          <w14:ligatures w14:val="none"/>
        </w:rPr>
        <w:br/>
      </w:r>
      <w:r w:rsidRPr="00055D3A">
        <w:rPr>
          <w:rFonts w:ascii="Arial" w:eastAsia="Times New Roman" w:hAnsi="Arial" w:cs="Arial"/>
          <w:kern w:val="0"/>
          <w:sz w:val="20"/>
          <w:szCs w:val="20"/>
          <w14:ligatures w14:val="none"/>
        </w:rPr>
        <w:t>(236) 464-3649</w:t>
      </w:r>
      <w:r w:rsidRPr="00055D3A">
        <w:rPr>
          <w:rFonts w:ascii="Arial" w:eastAsia="Times New Roman" w:hAnsi="Arial" w:cs="Arial"/>
          <w:kern w:val="0"/>
          <w:sz w:val="20"/>
          <w:szCs w:val="20"/>
          <w14:ligatures w14:val="none"/>
        </w:rPr>
        <w:br/>
      </w:r>
      <w:r>
        <w:rPr>
          <w:rFonts w:ascii="Arial" w:eastAsia="Times New Roman" w:hAnsi="Arial" w:cs="Arial"/>
          <w:kern w:val="0"/>
          <w:sz w:val="20"/>
          <w:szCs w:val="20"/>
          <w14:ligatures w14:val="none"/>
        </w:rPr>
        <w:t>jordan.grootendorst@dfo-mpo.gc.ca</w:t>
      </w:r>
      <w:r w:rsidRPr="00055D3A">
        <w:rPr>
          <w:rFonts w:ascii="Arial" w:eastAsia="Times New Roman" w:hAnsi="Arial" w:cs="Arial"/>
          <w:kern w:val="0"/>
          <w:sz w:val="20"/>
          <w:szCs w:val="20"/>
          <w14:ligatures w14:val="none"/>
        </w:rPr>
        <w:br/>
      </w:r>
    </w:p>
    <w:p w14:paraId="593EC87B" w14:textId="6684FF99" w:rsidR="00A11950" w:rsidRDefault="00055D3A" w:rsidP="00864239">
      <w:pPr>
        <w:spacing w:after="360" w:line="520" w:lineRule="exact"/>
        <w:outlineLvl w:val="1"/>
        <w:rPr>
          <w:rFonts w:ascii="Arial Black" w:eastAsia="Times New Roman" w:hAnsi="Arial Black" w:cs="Times New Roman"/>
          <w:b/>
          <w:bCs/>
          <w:color w:val="6C93CD"/>
          <w:w w:val="90"/>
          <w:kern w:val="0"/>
          <w:sz w:val="52"/>
          <w:szCs w:val="20"/>
          <w:lang w:val="fr-CA"/>
          <w14:ligatures w14:val="none"/>
        </w:rPr>
      </w:pPr>
      <w:bookmarkStart w:id="4" w:name="_Toc83035549"/>
      <w:r w:rsidRPr="00055D3A">
        <w:rPr>
          <w:rFonts w:ascii="Arial Black" w:eastAsia="Times New Roman" w:hAnsi="Arial Black" w:cs="Times New Roman"/>
          <w:b/>
          <w:bCs/>
          <w:color w:val="6C93CD"/>
          <w:w w:val="90"/>
          <w:kern w:val="0"/>
          <w:sz w:val="52"/>
          <w:szCs w:val="20"/>
          <w:lang w:val="fr-CA"/>
          <w14:ligatures w14:val="none"/>
        </w:rPr>
        <w:t>Le projet proposé</w:t>
      </w:r>
      <w:bookmarkEnd w:id="4"/>
    </w:p>
    <w:p w14:paraId="520E23A7" w14:textId="77777777" w:rsidR="00864239" w:rsidRPr="00864239" w:rsidRDefault="00864239" w:rsidP="00864239">
      <w:pPr>
        <w:rPr>
          <w:rFonts w:ascii="Arial" w:hAnsi="Arial" w:cs="Arial"/>
          <w:w w:val="90"/>
          <w:sz w:val="20"/>
          <w:szCs w:val="20"/>
          <w:lang w:val="fr-CA"/>
        </w:rPr>
      </w:pPr>
      <w:r w:rsidRPr="00864239">
        <w:rPr>
          <w:rFonts w:ascii="Arial" w:hAnsi="Arial" w:cs="Arial"/>
          <w:w w:val="90"/>
          <w:sz w:val="20"/>
          <w:szCs w:val="20"/>
          <w:lang w:val="fr-CA"/>
        </w:rPr>
        <w:t>Le site de la GCC à Gull Harbour abrite deux phares : un phare en bois construit en 1898 et une tour à ossature d’acier surmontée d’un bâtiment de phare en bois, construite en 1924. Ce projet porte sur la reconstruction de la tour à ossature d’acier de 1924. Ce phare est un bâtiment protégé en vertu de la Loi sur la protection des phares patrimoniaux (LPPP) et, à ce titre, certaines conditions doivent être respectées dans le cadre du projet. La structure actuelle mesure 27,3 mètres de hauteur avec une emprise au sol de 10 mètres carrés et doit être remplacée. Les composants structurels de la tour à ossature d’acier ne sont pas conformes aux normes de l’industrie, et leur réparation ne serait pas une option réaliste, ni sur le plan logistique ni sur le plan financier. De plus, le bâtiment de phare en bois est en état de décomposition et nécessite également des réparations. Le plan consiste à démolir entièrement la structure et à la reconstruire en une structure visuellement identique, composée d’une tour inférieure en acier et d’un bâtiment de phare en bois, conforme à la LPPP.</w:t>
      </w:r>
    </w:p>
    <w:p w14:paraId="037A9B42" w14:textId="77777777" w:rsidR="00864239" w:rsidRPr="00864239" w:rsidRDefault="00864239" w:rsidP="00864239">
      <w:pPr>
        <w:rPr>
          <w:rFonts w:ascii="Arial" w:hAnsi="Arial" w:cs="Arial"/>
          <w:w w:val="90"/>
          <w:sz w:val="20"/>
          <w:szCs w:val="20"/>
          <w:lang w:val="fr-CA"/>
        </w:rPr>
      </w:pPr>
    </w:p>
    <w:p w14:paraId="39ED5986" w14:textId="11A2E16F" w:rsidR="00864239" w:rsidRPr="00864239" w:rsidRDefault="00864239" w:rsidP="00864239">
      <w:pPr>
        <w:rPr>
          <w:rFonts w:ascii="Arial" w:hAnsi="Arial" w:cs="Arial"/>
          <w:w w:val="90"/>
          <w:sz w:val="20"/>
          <w:szCs w:val="20"/>
          <w:lang w:val="fr-CA"/>
        </w:rPr>
      </w:pPr>
      <w:r w:rsidRPr="00864239">
        <w:rPr>
          <w:rFonts w:ascii="Arial" w:hAnsi="Arial" w:cs="Arial"/>
          <w:w w:val="90"/>
          <w:sz w:val="20"/>
          <w:szCs w:val="20"/>
          <w:lang w:val="fr-CA"/>
        </w:rPr>
        <w:t>Ce phare est situé sur une péninsule qui s’avance dans le lac Winnipeg, au Manitoba. Le sol de surface est composé de graviers et de petits cailloux. Le site comporte un couvert végétal constitué de diverses espèces d’arbustes et de jeunes arbres en croissance primaire. Il n’est pas prévu que des arbres soient abattus dans le cadre du projet, toutefois, les arbustes situés à la base de la structure seront endommagés ou détruits. L’accès au site se fera par un sentier large qui traverse toute la longueur de la péninsule, d’environ 1 km, ce qui signifie qu’aucune perturbation aquatique n’est prévue en lien avec les travaux planifiés.</w:t>
      </w:r>
    </w:p>
    <w:sectPr w:rsidR="00864239" w:rsidRPr="008642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64ED8"/>
    <w:multiLevelType w:val="hybridMultilevel"/>
    <w:tmpl w:val="CEA0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217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67D"/>
    <w:rsid w:val="00015702"/>
    <w:rsid w:val="00055D3A"/>
    <w:rsid w:val="00121126"/>
    <w:rsid w:val="0027367D"/>
    <w:rsid w:val="003620E5"/>
    <w:rsid w:val="0051322B"/>
    <w:rsid w:val="00560F53"/>
    <w:rsid w:val="006B1EAC"/>
    <w:rsid w:val="008632BD"/>
    <w:rsid w:val="00864239"/>
    <w:rsid w:val="00866F28"/>
    <w:rsid w:val="00953FB1"/>
    <w:rsid w:val="00A11950"/>
    <w:rsid w:val="00A83495"/>
    <w:rsid w:val="00B510F9"/>
    <w:rsid w:val="00C25BEC"/>
    <w:rsid w:val="00C67519"/>
    <w:rsid w:val="00D75813"/>
    <w:rsid w:val="00D75B53"/>
    <w:rsid w:val="00EB5965"/>
    <w:rsid w:val="00F90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42C6773"/>
  <w15:chartTrackingRefBased/>
  <w15:docId w15:val="{6529060F-F269-4E92-B83E-3093EC3E9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D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D3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Grootendorst, Jordan (DFO/MPO)</dc:creator>
  <cp:keywords/>
  <dc:description/>
  <cp:lastModifiedBy>Grootendorst, Jordan (DFO/MPO)</cp:lastModifiedBy>
  <cp:revision>3</cp:revision>
  <dcterms:created xsi:type="dcterms:W3CDTF">2025-04-30T18:37:00Z</dcterms:created>
  <dcterms:modified xsi:type="dcterms:W3CDTF">2025-04-30T18:40:00Z</dcterms:modified>
</cp:coreProperties>
</file>