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89AF" w14:textId="6714EE4C" w:rsidR="00C23513" w:rsidRPr="003D2DCB" w:rsidRDefault="00C23513" w:rsidP="00EE3353">
      <w:pPr>
        <w:pStyle w:val="Titre1"/>
      </w:pPr>
      <w:bookmarkStart w:id="0" w:name="_Toc19706591"/>
      <w:bookmarkStart w:id="1" w:name="_Toc20394667"/>
      <w:bookmarkStart w:id="2" w:name="_Toc83035547"/>
      <w:bookmarkStart w:id="3" w:name="_Toc151970423"/>
      <w:bookmarkStart w:id="4" w:name="_Toc151970529"/>
      <w:r w:rsidRPr="003D2DCB">
        <w:rPr>
          <w:lang w:val="fr-FR"/>
        </w:rPr>
        <w:t xml:space="preserve">Avis </w:t>
      </w:r>
      <w:bookmarkEnd w:id="2"/>
      <w:bookmarkEnd w:id="3"/>
      <w:bookmarkEnd w:id="4"/>
      <w:r w:rsidR="00E57BA1">
        <w:rPr>
          <w:lang w:val="fr-FR"/>
        </w:rPr>
        <w:t>de décision</w:t>
      </w:r>
    </w:p>
    <w:p w14:paraId="1011D1C6" w14:textId="48583D9A" w:rsidR="00E57BA1" w:rsidRPr="00E57BA1" w:rsidRDefault="00E57BA1" w:rsidP="002642BF">
      <w:pPr>
        <w:rPr>
          <w:rFonts w:eastAsiaTheme="minorHAnsi" w:cs="Arial"/>
          <w:b/>
          <w:bCs/>
        </w:rPr>
      </w:pPr>
      <w:r>
        <w:rPr>
          <w:b/>
        </w:rPr>
        <w:t xml:space="preserve">5 </w:t>
      </w:r>
      <w:r w:rsidR="009245B2">
        <w:rPr>
          <w:b/>
        </w:rPr>
        <w:t>mai</w:t>
      </w:r>
      <w:r w:rsidR="006210A8">
        <w:rPr>
          <w:b/>
          <w:lang w:val="fr-FR"/>
        </w:rPr>
        <w:t xml:space="preserve"> 2025</w:t>
      </w:r>
      <w:r w:rsidR="00C23513" w:rsidRPr="003D2DCB">
        <w:rPr>
          <w:lang w:val="fr-FR"/>
        </w:rPr>
        <w:t xml:space="preserve"> –</w:t>
      </w:r>
      <w:r w:rsidR="006A5171">
        <w:rPr>
          <w:lang w:val="fr-FR"/>
        </w:rPr>
        <w:t xml:space="preserve"> </w:t>
      </w:r>
      <w:r w:rsidR="006A5171" w:rsidRPr="006A5171">
        <w:t xml:space="preserve">Transports Canada </w:t>
      </w:r>
      <w:bookmarkEnd w:id="0"/>
      <w:bookmarkEnd w:id="1"/>
      <w:r w:rsidR="002642BF" w:rsidRPr="00E57BA1">
        <w:rPr>
          <w:rFonts w:eastAsiaTheme="minorHAnsi" w:cs="Arial"/>
          <w:lang w:val="fr-FR"/>
        </w:rPr>
        <w:t xml:space="preserve">a déterminé que le projet </w:t>
      </w:r>
      <w:r w:rsidR="002642BF">
        <w:rPr>
          <w:rFonts w:eastAsiaTheme="minorHAnsi" w:cs="Arial"/>
          <w:lang w:val="fr-FR"/>
        </w:rPr>
        <w:t xml:space="preserve">de retrait de réservoirs par AVJET à l’aéroport de Natashquan </w:t>
      </w:r>
      <w:r w:rsidR="002642BF" w:rsidRPr="00E57BA1">
        <w:rPr>
          <w:rFonts w:eastAsiaTheme="minorHAnsi" w:cs="Arial"/>
          <w:lang w:val="fr-FR"/>
        </w:rPr>
        <w:t>n’est pas susceptible de causer des effets négatifs importants sur l’environnement</w:t>
      </w:r>
      <w:r w:rsidR="002642BF">
        <w:rPr>
          <w:rFonts w:eastAsiaTheme="minorHAnsi" w:cs="Arial"/>
          <w:lang w:val="fr-FR"/>
        </w:rPr>
        <w:t>.</w:t>
      </w:r>
      <w:r w:rsidRPr="00E57BA1">
        <w:rPr>
          <w:rFonts w:eastAsiaTheme="minorHAnsi" w:cs="Arial"/>
          <w:b/>
          <w:bCs/>
        </w:rPr>
        <w:t> </w:t>
      </w:r>
    </w:p>
    <w:p w14:paraId="55C9401D" w14:textId="77777777" w:rsidR="00E57BA1" w:rsidRPr="00E57BA1" w:rsidRDefault="00E57BA1" w:rsidP="00E57BA1">
      <w:pPr>
        <w:rPr>
          <w:rFonts w:eastAsiaTheme="minorHAnsi" w:cs="Arial"/>
        </w:rPr>
      </w:pPr>
      <w:r w:rsidRPr="00E57BA1">
        <w:rPr>
          <w:rFonts w:eastAsiaTheme="minorHAnsi" w:cs="Arial"/>
          <w:lang w:val="fr-FR"/>
        </w:rPr>
        <w:t>Cette détermination reposait sur les facteurs suivants :</w:t>
      </w:r>
      <w:r w:rsidRPr="00E57BA1">
        <w:rPr>
          <w:rFonts w:eastAsiaTheme="minorHAnsi" w:cs="Arial"/>
        </w:rPr>
        <w:t> </w:t>
      </w:r>
    </w:p>
    <w:p w14:paraId="24AD81E3" w14:textId="77777777" w:rsidR="00E57BA1" w:rsidRPr="00E57BA1" w:rsidRDefault="00E57BA1" w:rsidP="00A83B08">
      <w:pPr>
        <w:numPr>
          <w:ilvl w:val="0"/>
          <w:numId w:val="42"/>
        </w:numPr>
        <w:spacing w:after="120"/>
        <w:ind w:left="714" w:hanging="357"/>
        <w:rPr>
          <w:rFonts w:eastAsiaTheme="minorHAnsi" w:cs="Arial"/>
        </w:rPr>
      </w:pPr>
      <w:proofErr w:type="gramStart"/>
      <w:r w:rsidRPr="00E57BA1">
        <w:rPr>
          <w:rFonts w:eastAsiaTheme="minorHAnsi" w:cs="Arial"/>
          <w:lang w:val="fr-FR"/>
        </w:rPr>
        <w:t>répercussions</w:t>
      </w:r>
      <w:proofErr w:type="gramEnd"/>
      <w:r w:rsidRPr="00E57BA1">
        <w:rPr>
          <w:rFonts w:eastAsiaTheme="minorHAnsi" w:cs="Arial"/>
          <w:lang w:val="fr-FR"/>
        </w:rPr>
        <w:t xml:space="preserve"> sur les droits des peuples autochtones ;</w:t>
      </w:r>
      <w:r w:rsidRPr="00E57BA1">
        <w:rPr>
          <w:rFonts w:eastAsiaTheme="minorHAnsi" w:cs="Arial"/>
        </w:rPr>
        <w:t> </w:t>
      </w:r>
    </w:p>
    <w:p w14:paraId="2F5CA3C7" w14:textId="77777777" w:rsidR="00E57BA1" w:rsidRPr="00E57BA1" w:rsidRDefault="00E57BA1" w:rsidP="00A83B08">
      <w:pPr>
        <w:numPr>
          <w:ilvl w:val="0"/>
          <w:numId w:val="43"/>
        </w:numPr>
        <w:spacing w:after="120"/>
        <w:ind w:left="714" w:hanging="357"/>
        <w:rPr>
          <w:rFonts w:eastAsiaTheme="minorHAnsi" w:cs="Arial"/>
        </w:rPr>
      </w:pPr>
      <w:proofErr w:type="gramStart"/>
      <w:r w:rsidRPr="00E57BA1">
        <w:rPr>
          <w:rFonts w:eastAsiaTheme="minorHAnsi" w:cs="Arial"/>
          <w:lang w:val="fr-FR"/>
        </w:rPr>
        <w:t>connaissances</w:t>
      </w:r>
      <w:proofErr w:type="gramEnd"/>
      <w:r w:rsidRPr="00E57BA1">
        <w:rPr>
          <w:rFonts w:eastAsiaTheme="minorHAnsi" w:cs="Arial"/>
          <w:lang w:val="fr-FR"/>
        </w:rPr>
        <w:t xml:space="preserve"> autochtones ;</w:t>
      </w:r>
      <w:r w:rsidRPr="00E57BA1">
        <w:rPr>
          <w:rFonts w:eastAsiaTheme="minorHAnsi" w:cs="Arial"/>
        </w:rPr>
        <w:t> </w:t>
      </w:r>
    </w:p>
    <w:p w14:paraId="1003D99F" w14:textId="77777777" w:rsidR="00E57BA1" w:rsidRPr="00E57BA1" w:rsidRDefault="00E57BA1" w:rsidP="00A83B08">
      <w:pPr>
        <w:numPr>
          <w:ilvl w:val="0"/>
          <w:numId w:val="44"/>
        </w:numPr>
        <w:spacing w:after="120"/>
        <w:ind w:left="714" w:hanging="357"/>
        <w:rPr>
          <w:rFonts w:eastAsiaTheme="minorHAnsi" w:cs="Arial"/>
        </w:rPr>
      </w:pPr>
      <w:proofErr w:type="gramStart"/>
      <w:r w:rsidRPr="00E57BA1">
        <w:rPr>
          <w:rFonts w:eastAsiaTheme="minorHAnsi" w:cs="Arial"/>
          <w:lang w:val="fr-FR"/>
        </w:rPr>
        <w:t>connaissances</w:t>
      </w:r>
      <w:proofErr w:type="gramEnd"/>
      <w:r w:rsidRPr="00E57BA1">
        <w:rPr>
          <w:rFonts w:eastAsiaTheme="minorHAnsi" w:cs="Arial"/>
          <w:lang w:val="fr-FR"/>
        </w:rPr>
        <w:t xml:space="preserve"> communautaires ;</w:t>
      </w:r>
      <w:r w:rsidRPr="00E57BA1">
        <w:rPr>
          <w:rFonts w:eastAsiaTheme="minorHAnsi" w:cs="Arial"/>
        </w:rPr>
        <w:t> </w:t>
      </w:r>
    </w:p>
    <w:p w14:paraId="7EC05172" w14:textId="77777777" w:rsidR="00E57BA1" w:rsidRPr="00E57BA1" w:rsidRDefault="00E57BA1" w:rsidP="00A83B08">
      <w:pPr>
        <w:numPr>
          <w:ilvl w:val="0"/>
          <w:numId w:val="45"/>
        </w:numPr>
        <w:spacing w:after="120"/>
        <w:ind w:left="714" w:hanging="357"/>
        <w:rPr>
          <w:rFonts w:eastAsiaTheme="minorHAnsi" w:cs="Arial"/>
        </w:rPr>
      </w:pPr>
      <w:proofErr w:type="gramStart"/>
      <w:r w:rsidRPr="00E57BA1">
        <w:rPr>
          <w:rFonts w:eastAsiaTheme="minorHAnsi" w:cs="Arial"/>
          <w:lang w:val="fr-FR"/>
        </w:rPr>
        <w:t>commentaires</w:t>
      </w:r>
      <w:proofErr w:type="gramEnd"/>
      <w:r w:rsidRPr="00E57BA1">
        <w:rPr>
          <w:rFonts w:eastAsiaTheme="minorHAnsi" w:cs="Arial"/>
          <w:lang w:val="fr-FR"/>
        </w:rPr>
        <w:t xml:space="preserve"> reçus du public ; et</w:t>
      </w:r>
      <w:r w:rsidRPr="00E57BA1">
        <w:rPr>
          <w:rFonts w:eastAsiaTheme="minorHAnsi" w:cs="Arial"/>
        </w:rPr>
        <w:t> </w:t>
      </w:r>
    </w:p>
    <w:p w14:paraId="33017475" w14:textId="77777777" w:rsidR="00E57BA1" w:rsidRPr="00E57BA1" w:rsidRDefault="00E57BA1" w:rsidP="00E57BA1">
      <w:pPr>
        <w:numPr>
          <w:ilvl w:val="0"/>
          <w:numId w:val="46"/>
        </w:numPr>
        <w:rPr>
          <w:rFonts w:eastAsiaTheme="minorHAnsi" w:cs="Arial"/>
        </w:rPr>
      </w:pPr>
      <w:proofErr w:type="gramStart"/>
      <w:r w:rsidRPr="00E57BA1">
        <w:rPr>
          <w:rFonts w:eastAsiaTheme="minorHAnsi" w:cs="Arial"/>
          <w:lang w:val="fr-FR"/>
        </w:rPr>
        <w:t>mesures</w:t>
      </w:r>
      <w:proofErr w:type="gramEnd"/>
      <w:r w:rsidRPr="00E57BA1">
        <w:rPr>
          <w:rFonts w:eastAsiaTheme="minorHAnsi" w:cs="Arial"/>
          <w:lang w:val="fr-FR"/>
        </w:rPr>
        <w:t xml:space="preserve"> d’atténuation réalisables sur les plans technique et économique.</w:t>
      </w:r>
      <w:r w:rsidRPr="00E57BA1">
        <w:rPr>
          <w:rFonts w:eastAsiaTheme="minorHAnsi" w:cs="Arial"/>
        </w:rPr>
        <w:t> </w:t>
      </w:r>
    </w:p>
    <w:p w14:paraId="59DD71A9" w14:textId="3079762E" w:rsidR="00E57BA1" w:rsidRPr="00E57BA1" w:rsidRDefault="00E57BA1" w:rsidP="00E57BA1">
      <w:pPr>
        <w:rPr>
          <w:rFonts w:eastAsiaTheme="minorHAnsi" w:cs="Arial"/>
        </w:rPr>
      </w:pPr>
      <w:r w:rsidRPr="00E57BA1">
        <w:rPr>
          <w:rFonts w:eastAsiaTheme="minorHAnsi" w:cs="Arial"/>
          <w:lang w:val="fr-FR"/>
        </w:rPr>
        <w:t>Les mesures d'atténuation prises en compte pour cette détermination sont les suivantes : </w:t>
      </w:r>
      <w:r w:rsidRPr="00E57BA1">
        <w:rPr>
          <w:rFonts w:eastAsiaTheme="minorHAnsi" w:cs="Arial"/>
        </w:rPr>
        <w:t> </w:t>
      </w:r>
    </w:p>
    <w:p w14:paraId="4A2E8562" w14:textId="77777777" w:rsidR="00423A21" w:rsidRPr="00423A21" w:rsidRDefault="00423A21" w:rsidP="00423A21">
      <w:pPr>
        <w:numPr>
          <w:ilvl w:val="0"/>
          <w:numId w:val="47"/>
        </w:numPr>
        <w:rPr>
          <w:rFonts w:eastAsiaTheme="minorHAnsi" w:cs="Arial"/>
          <w:b/>
          <w:bCs/>
        </w:rPr>
      </w:pPr>
      <w:r w:rsidRPr="00423A21">
        <w:rPr>
          <w:rFonts w:eastAsiaTheme="minorHAnsi" w:cs="Arial"/>
          <w:b/>
          <w:bCs/>
        </w:rPr>
        <w:t>Chantier (Général)</w:t>
      </w:r>
    </w:p>
    <w:p w14:paraId="5F1FF0B5" w14:textId="6CBCD266" w:rsidR="00423A21" w:rsidRDefault="00423A21" w:rsidP="00FD77B7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Il est de la responsabilité de l’entrepreneur d’identifier et de localiser les infrastructures souterraines</w:t>
      </w:r>
      <w:r>
        <w:rPr>
          <w:rFonts w:eastAsiaTheme="minorHAnsi" w:cs="Arial"/>
        </w:rPr>
        <w:t xml:space="preserve"> a</w:t>
      </w:r>
      <w:r w:rsidRPr="00423A21">
        <w:rPr>
          <w:rFonts w:eastAsiaTheme="minorHAnsi" w:cs="Arial"/>
        </w:rPr>
        <w:t>vant de procéder à tous travaux d’excavation.</w:t>
      </w:r>
    </w:p>
    <w:p w14:paraId="4EFCC7E3" w14:textId="03C38D56" w:rsidR="00423A21" w:rsidRDefault="00423A21" w:rsidP="00FD77B7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Maintenir le chantier et les aires contiguës propres. Nettoyer le site à mesure de l'avancement des</w:t>
      </w:r>
      <w:r w:rsidRPr="00423A21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travaux afin d'empêcher l'accumulation de poussières, de saletés, de débris, de matériaux et autres</w:t>
      </w:r>
      <w:r w:rsidRPr="00423A21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déchets.</w:t>
      </w:r>
    </w:p>
    <w:p w14:paraId="0EB26D46" w14:textId="7D68D4F1" w:rsidR="00423A21" w:rsidRPr="00423A21" w:rsidRDefault="00423A21" w:rsidP="00FD77B7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S’assurer en tout temps qu’aucun déchet n'est laissé et que les lieux sont remis dans des conditions</w:t>
      </w:r>
      <w:r w:rsidRPr="00423A21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respectueuses de l’environnement à la fin des travaux.</w:t>
      </w:r>
    </w:p>
    <w:p w14:paraId="6E16E15B" w14:textId="77777777" w:rsidR="00423A21" w:rsidRPr="00423A21" w:rsidRDefault="00423A21" w:rsidP="00423A21">
      <w:pPr>
        <w:numPr>
          <w:ilvl w:val="0"/>
          <w:numId w:val="47"/>
        </w:numPr>
        <w:rPr>
          <w:rFonts w:eastAsiaTheme="minorHAnsi" w:cs="Arial"/>
          <w:b/>
          <w:bCs/>
        </w:rPr>
      </w:pPr>
      <w:r w:rsidRPr="00423A21">
        <w:rPr>
          <w:rFonts w:eastAsiaTheme="minorHAnsi" w:cs="Arial"/>
          <w:b/>
          <w:bCs/>
        </w:rPr>
        <w:t>Accidents et défaillances</w:t>
      </w:r>
    </w:p>
    <w:p w14:paraId="1CE55C8C" w14:textId="62DDC5E4" w:rsidR="00423A21" w:rsidRPr="00423A21" w:rsidRDefault="00423A21" w:rsidP="007D0909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Mettre en place un plan de prévention et d’intervention en cas de déversement et bien identifier les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personnes et les organismes responsables à contacter ainsi que la procédure à suivre en cas d’urgence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environnementale.</w:t>
      </w:r>
    </w:p>
    <w:p w14:paraId="261C195D" w14:textId="67BB0EB1" w:rsidR="00423A21" w:rsidRPr="00423A21" w:rsidRDefault="00423A21" w:rsidP="00FD77B7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Une trousse d’urgence en cas de déversement devra être présente en tout temps sur le site des travaux.</w:t>
      </w:r>
    </w:p>
    <w:p w14:paraId="57FA18D6" w14:textId="210DCBA3" w:rsidR="00423A21" w:rsidRPr="00423A21" w:rsidRDefault="00423A21" w:rsidP="000C0C23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Tout déversement doit être rapidement maîtrisé et le matériel contaminé devra être géré selon les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normes en vigueur. Récupérer toute contamination, que ce soit le produit déversé, les sols ou l’eau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affectés par cette contamination et en disposer selon la réglementation en vigueur. Aviser sans délai le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responsable de l’aéroport. Les travaux de caractérisation, de réhabilitation et le rapport de réhabilitation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devront être faits par une firme de consultation en environnement.</w:t>
      </w:r>
    </w:p>
    <w:p w14:paraId="2F82DE7D" w14:textId="47B29D38" w:rsidR="00423A21" w:rsidRPr="00423A21" w:rsidRDefault="00423A21" w:rsidP="003749B4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Tout déversement entraînant des conséquences sur l’environnement doit être déclaré aux services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d’urgence d’Environnement et Changement climatique Canada (ECCC) (1-866-283-2333) et au service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d’urgence du ministère de l’Environnement et de la Lutte contre les changements climatiques, de la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Faune et des Parc (MELCCFP) (1-866-694-5454).</w:t>
      </w:r>
    </w:p>
    <w:p w14:paraId="4A9E351B" w14:textId="77777777" w:rsidR="00423A21" w:rsidRPr="00423A21" w:rsidRDefault="00423A21" w:rsidP="00FD77B7">
      <w:pPr>
        <w:numPr>
          <w:ilvl w:val="0"/>
          <w:numId w:val="47"/>
        </w:numPr>
        <w:rPr>
          <w:rFonts w:eastAsiaTheme="minorHAnsi" w:cs="Arial"/>
          <w:b/>
          <w:bCs/>
        </w:rPr>
      </w:pPr>
      <w:r w:rsidRPr="00423A21">
        <w:rPr>
          <w:rFonts w:eastAsiaTheme="minorHAnsi" w:cs="Arial"/>
          <w:b/>
          <w:bCs/>
        </w:rPr>
        <w:t>Utilisation de machinerie</w:t>
      </w:r>
    </w:p>
    <w:p w14:paraId="16BC8B2C" w14:textId="213609AB" w:rsidR="00FD77B7" w:rsidRPr="00FD77B7" w:rsidRDefault="00423A21" w:rsidP="009F1579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lastRenderedPageBreak/>
        <w:t>S’assurer que les équipements et la machinerie sont en bon état de fonctionnement et exempts de fuite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d’hydrocarbures.</w:t>
      </w:r>
      <w:r w:rsidR="00FD77B7" w:rsidRPr="00FD77B7">
        <w:rPr>
          <w:rFonts w:eastAsiaTheme="minorHAnsi" w:cs="Arial"/>
        </w:rPr>
        <w:t xml:space="preserve"> </w:t>
      </w:r>
    </w:p>
    <w:p w14:paraId="7A1A60EC" w14:textId="7BDA7951" w:rsidR="00423A21" w:rsidRPr="00423A21" w:rsidRDefault="00423A21" w:rsidP="004A4E9A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Effectuer l’entretien, le nettoyage et le ravitaillement des équipements et des véhicules aux endroits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prévus à cet effet, sur une surface étanche, et ce, à une distance d’au moins 30 mètres de cours d’eau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et 15 mètres de fossés de drainage.</w:t>
      </w:r>
    </w:p>
    <w:p w14:paraId="610544D4" w14:textId="77777777" w:rsidR="00423A21" w:rsidRPr="00423A21" w:rsidRDefault="00423A21" w:rsidP="00FD77B7">
      <w:pPr>
        <w:numPr>
          <w:ilvl w:val="0"/>
          <w:numId w:val="47"/>
        </w:numPr>
        <w:rPr>
          <w:rFonts w:eastAsiaTheme="minorHAnsi" w:cs="Arial"/>
          <w:b/>
          <w:bCs/>
        </w:rPr>
      </w:pPr>
      <w:r w:rsidRPr="00423A21">
        <w:rPr>
          <w:rFonts w:eastAsiaTheme="minorHAnsi" w:cs="Arial"/>
          <w:b/>
          <w:bCs/>
        </w:rPr>
        <w:t>Mise hors service et retrait d’un système de stockage</w:t>
      </w:r>
    </w:p>
    <w:p w14:paraId="1D336EF5" w14:textId="18F3B7D3" w:rsidR="00423A21" w:rsidRPr="00423A21" w:rsidRDefault="00423A21" w:rsidP="001B12A2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Les réservoirs à retirer sont enregistrés auprès d’Environnement et Changement climatique Canada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(ECCC) et assujettis au Règlement sur les systèmes de stockage de produits pétroliers et de produits</w:t>
      </w:r>
      <w:r w:rsidR="00FD77B7" w:rsidRPr="00FD77B7">
        <w:rPr>
          <w:rFonts w:eastAsiaTheme="minorHAnsi" w:cs="Arial"/>
        </w:rPr>
        <w:t xml:space="preserve"> </w:t>
      </w:r>
      <w:proofErr w:type="gramStart"/>
      <w:r w:rsidRPr="00423A21">
        <w:rPr>
          <w:rFonts w:eastAsiaTheme="minorHAnsi" w:cs="Arial"/>
        </w:rPr>
        <w:t xml:space="preserve">apparentés 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(</w:t>
      </w:r>
      <w:proofErr w:type="gramEnd"/>
      <w:r w:rsidRPr="00423A21">
        <w:rPr>
          <w:rFonts w:eastAsiaTheme="minorHAnsi" w:cs="Arial"/>
        </w:rPr>
        <w:t>RSTOPP). La mise hors service permanente et l’enlèvement d’un système de stockage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assujetti par le RSTOPP doivent respecter les articles 44 et 45 de ce règlement. La mise hors service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et le retrait des réservoirs devront être effectués par une personne agréée par la RBQ.</w:t>
      </w:r>
    </w:p>
    <w:p w14:paraId="593465CC" w14:textId="4DF8ABF9" w:rsidR="00423A21" w:rsidRPr="00423A21" w:rsidRDefault="00423A21" w:rsidP="00FD77B7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Toutes les opérations doivent être effectuées de manière à prévenir tout effet nocif sur l’environnement.</w:t>
      </w:r>
    </w:p>
    <w:p w14:paraId="037B7AB0" w14:textId="4A041256" w:rsidR="00423A21" w:rsidRPr="00423A21" w:rsidRDefault="00423A21" w:rsidP="002766A6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Le propriétaire doit consigner l’information sur la mise hors service et l’enlèvement dans un registre et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transmettre un avis à ECCC sur l’enlèvement et la mise hors service de ces réservoirs.</w:t>
      </w:r>
    </w:p>
    <w:p w14:paraId="16DB020A" w14:textId="77777777" w:rsidR="00423A21" w:rsidRPr="00423A21" w:rsidRDefault="00423A21" w:rsidP="00FD77B7">
      <w:pPr>
        <w:numPr>
          <w:ilvl w:val="0"/>
          <w:numId w:val="47"/>
        </w:numPr>
        <w:rPr>
          <w:rFonts w:eastAsiaTheme="minorHAnsi" w:cs="Arial"/>
          <w:b/>
          <w:bCs/>
        </w:rPr>
      </w:pPr>
      <w:r w:rsidRPr="00423A21">
        <w:rPr>
          <w:rFonts w:eastAsiaTheme="minorHAnsi" w:cs="Arial"/>
          <w:b/>
          <w:bCs/>
        </w:rPr>
        <w:t>Excavation – gestion des déblais ou sols</w:t>
      </w:r>
    </w:p>
    <w:p w14:paraId="2C792E7D" w14:textId="51921515" w:rsidR="00423A21" w:rsidRPr="00423A21" w:rsidRDefault="00423A21" w:rsidP="0029755D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 xml:space="preserve">Si les travaux devaient être réalisés près d’un puits d’observation, l’entrepreneur </w:t>
      </w:r>
      <w:proofErr w:type="gramStart"/>
      <w:r w:rsidRPr="00423A21">
        <w:rPr>
          <w:rFonts w:eastAsiaTheme="minorHAnsi" w:cs="Arial"/>
        </w:rPr>
        <w:t>devra</w:t>
      </w:r>
      <w:proofErr w:type="gramEnd"/>
      <w:r w:rsidRPr="00423A21">
        <w:rPr>
          <w:rFonts w:eastAsiaTheme="minorHAnsi" w:cs="Arial"/>
        </w:rPr>
        <w:t xml:space="preserve"> prendre les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mesures nécessaires pour préserver l’installation.</w:t>
      </w:r>
    </w:p>
    <w:p w14:paraId="5A2A6386" w14:textId="4C7F7427" w:rsidR="00423A21" w:rsidRPr="00423A21" w:rsidRDefault="00423A21" w:rsidP="00255B81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Il est de la responsabilité du promoteur de s’assurer de localiser les infrastructures avant les travaux et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 xml:space="preserve">à </w:t>
      </w:r>
      <w:r w:rsidR="00FD77B7">
        <w:rPr>
          <w:rFonts w:eastAsiaTheme="minorHAnsi" w:cs="Arial"/>
        </w:rPr>
        <w:t>s</w:t>
      </w:r>
      <w:r w:rsidRPr="00423A21">
        <w:rPr>
          <w:rFonts w:eastAsiaTheme="minorHAnsi" w:cs="Arial"/>
        </w:rPr>
        <w:t>es frais.</w:t>
      </w:r>
    </w:p>
    <w:p w14:paraId="4EB85ABE" w14:textId="1D3212A3" w:rsidR="00423A21" w:rsidRPr="00423A21" w:rsidRDefault="00423A21" w:rsidP="00FD77B7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La caractérisation des sols (laissés en place) devra être faite par un représentant du consultant en</w:t>
      </w:r>
      <w:r w:rsidR="00FD77B7">
        <w:rPr>
          <w:rFonts w:eastAsiaTheme="minorHAnsi" w:cs="Arial"/>
        </w:rPr>
        <w:t xml:space="preserve">                                           </w:t>
      </w:r>
      <w:r w:rsidRPr="00423A21">
        <w:rPr>
          <w:rFonts w:eastAsiaTheme="minorHAnsi" w:cs="Arial"/>
        </w:rPr>
        <w:t>environnement.</w:t>
      </w:r>
    </w:p>
    <w:p w14:paraId="5F22BA4B" w14:textId="63FD9511" w:rsidR="00423A21" w:rsidRPr="00423A21" w:rsidRDefault="00423A21" w:rsidP="00670DA5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Advenant l’excavation de sols présentant des indices de contamination, ceux-ci devront aussi être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entreposés entre deux membranes étanches, analysés par un laboratoire accrédité et gérés selon leurs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niveaux de contamination, et ce, en respectant la réglementation en vigueur. Ces sols ou matériaux ne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doivent pas être réutilisés sur le site et devront être gérés hors site, conformément à la Grille de gestion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des sols excavés du Guide d’intervention – Protection des sols et réhabilitation des terrains contaminés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du ministère de l’Environnement, de la Lutte contre les changements climatiques, de la Faune et des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Parcs (Guide du MELCCFP).</w:t>
      </w:r>
    </w:p>
    <w:p w14:paraId="24B62818" w14:textId="6CDCF22E" w:rsidR="00423A21" w:rsidRPr="00423A21" w:rsidRDefault="00423A21" w:rsidP="00A140C9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Le promoteur doit assurer que le transport de sols excavés hors site est effectué conformément au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Règlement concernant la traçabilité des sols contaminés excavés. Cela vise tous les sols contaminés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excavés provenant d’une activité humaine à partir de la plage A-B, et ce, peu importe le volume de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sols.</w:t>
      </w:r>
    </w:p>
    <w:p w14:paraId="7B2CD76A" w14:textId="0888B9A9" w:rsidR="00423A21" w:rsidRPr="00423A21" w:rsidRDefault="00423A21" w:rsidP="00FD77B7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Recouvrir les camions à benne lors du transport des matériaux fins.</w:t>
      </w:r>
    </w:p>
    <w:p w14:paraId="0EDEC92C" w14:textId="5C3C9D33" w:rsidR="00423A21" w:rsidRDefault="00423A21" w:rsidP="00287CE9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Tout matériel de remblai importé, doit être propre c’est-à-dire inférieur au critère A du Guide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 xml:space="preserve">d’intervention, Protection des sols et réhabilitation des terrains contaminés du MELCCFP (« </w:t>
      </w:r>
      <w:proofErr w:type="gramStart"/>
      <w:r w:rsidRPr="00423A21">
        <w:rPr>
          <w:rFonts w:eastAsiaTheme="minorHAnsi" w:cs="Arial"/>
        </w:rPr>
        <w:t xml:space="preserve">Le </w:t>
      </w:r>
      <w:r w:rsid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Guide</w:t>
      </w:r>
      <w:proofErr w:type="gramEnd"/>
      <w:r w:rsidRPr="00423A21">
        <w:rPr>
          <w:rFonts w:eastAsiaTheme="minorHAnsi" w:cs="Arial"/>
        </w:rPr>
        <w:t xml:space="preserve"> »).</w:t>
      </w:r>
    </w:p>
    <w:p w14:paraId="7C597BA6" w14:textId="77777777" w:rsidR="00C10CED" w:rsidRDefault="00C10CED" w:rsidP="00423A21">
      <w:pPr>
        <w:numPr>
          <w:ilvl w:val="0"/>
          <w:numId w:val="47"/>
        </w:numPr>
        <w:rPr>
          <w:rFonts w:eastAsiaTheme="minorHAnsi" w:cs="Arial"/>
          <w:b/>
          <w:bCs/>
        </w:rPr>
      </w:pPr>
      <w:r>
        <w:rPr>
          <w:rFonts w:eastAsiaTheme="minorHAnsi" w:cs="Arial"/>
          <w:b/>
          <w:bCs/>
        </w:rPr>
        <w:br w:type="page"/>
      </w:r>
    </w:p>
    <w:p w14:paraId="13D8575B" w14:textId="17DFB618" w:rsidR="00423A21" w:rsidRPr="00423A21" w:rsidRDefault="00423A21" w:rsidP="00423A21">
      <w:pPr>
        <w:numPr>
          <w:ilvl w:val="0"/>
          <w:numId w:val="47"/>
        </w:numPr>
        <w:rPr>
          <w:rFonts w:eastAsiaTheme="minorHAnsi" w:cs="Arial"/>
          <w:b/>
          <w:bCs/>
        </w:rPr>
      </w:pPr>
      <w:r w:rsidRPr="00423A21">
        <w:rPr>
          <w:rFonts w:eastAsiaTheme="minorHAnsi" w:cs="Arial"/>
          <w:b/>
          <w:bCs/>
        </w:rPr>
        <w:lastRenderedPageBreak/>
        <w:t>Gestion de matières résiduelles</w:t>
      </w:r>
    </w:p>
    <w:p w14:paraId="156AE577" w14:textId="562F1E40" w:rsidR="00423A21" w:rsidRDefault="00423A21" w:rsidP="00FD77B7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Adopter des pratiques de gestion des résidus de construction, de rénovation et de démolition,</w:t>
      </w:r>
      <w:r w:rsidR="00FD77B7" w:rsidRPr="00FD77B7"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notamment privilégier la récupération et la valorisation des résidus de béton (résidus d'agrégat).</w:t>
      </w:r>
    </w:p>
    <w:p w14:paraId="389C63B1" w14:textId="77777777" w:rsidR="00FD77B7" w:rsidRDefault="00FD77B7" w:rsidP="00FD77B7">
      <w:pPr>
        <w:numPr>
          <w:ilvl w:val="0"/>
          <w:numId w:val="49"/>
        </w:numPr>
        <w:rPr>
          <w:rFonts w:eastAsiaTheme="minorHAnsi" w:cs="Arial"/>
        </w:rPr>
      </w:pPr>
      <w:r w:rsidRPr="00423A21">
        <w:rPr>
          <w:rFonts w:eastAsiaTheme="minorHAnsi" w:cs="Arial"/>
        </w:rPr>
        <w:t>S’assurer que les déchets et les débris soient disposés dans des sites autorisés selon</w:t>
      </w:r>
      <w:r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leur nature. À la fin des travaux de démantèlement, remblayage et de disposition hors site de tous les matériaux,</w:t>
      </w:r>
      <w:r>
        <w:rPr>
          <w:rFonts w:eastAsiaTheme="minorHAnsi" w:cs="Arial"/>
        </w:rPr>
        <w:t xml:space="preserve"> </w:t>
      </w:r>
      <w:r w:rsidRPr="00423A21">
        <w:rPr>
          <w:rFonts w:eastAsiaTheme="minorHAnsi" w:cs="Arial"/>
        </w:rPr>
        <w:t>s’assurer en tout temps qu’aucun déchet ou déblais n'est laissé et que les lieux sont remis dans des conditions respectueuses de l’environnement à la fin des travaux</w:t>
      </w:r>
      <w:r>
        <w:rPr>
          <w:rFonts w:eastAsiaTheme="minorHAnsi" w:cs="Arial"/>
        </w:rPr>
        <w:t xml:space="preserve">. </w:t>
      </w:r>
    </w:p>
    <w:p w14:paraId="4E8E38D2" w14:textId="75EA4D17" w:rsidR="00423A21" w:rsidRPr="00E57BA1" w:rsidRDefault="00FD77B7" w:rsidP="00FD77B7">
      <w:pPr>
        <w:numPr>
          <w:ilvl w:val="0"/>
          <w:numId w:val="49"/>
        </w:numPr>
        <w:rPr>
          <w:rFonts w:eastAsiaTheme="minorHAnsi" w:cs="Arial"/>
        </w:rPr>
      </w:pPr>
      <w:r>
        <w:rPr>
          <w:rFonts w:eastAsiaTheme="minorHAnsi" w:cs="Arial"/>
        </w:rPr>
        <w:t>S</w:t>
      </w:r>
      <w:r w:rsidR="00423A21" w:rsidRPr="00423A21">
        <w:rPr>
          <w:rFonts w:eastAsiaTheme="minorHAnsi" w:cs="Arial"/>
        </w:rPr>
        <w:t>’assurer en tout temps qu’aucun déchet ou déblais n'est laissé et que les lieux sont remis dans des conditions respectueuses de l’environnement à la fin des travaux.</w:t>
      </w:r>
    </w:p>
    <w:p w14:paraId="30D432B4" w14:textId="538A3426" w:rsidR="00E57BA1" w:rsidRPr="00E57BA1" w:rsidRDefault="00E633E4" w:rsidP="00E57BA1">
      <w:pPr>
        <w:rPr>
          <w:rFonts w:eastAsiaTheme="minorHAnsi" w:cs="Arial"/>
        </w:rPr>
      </w:pPr>
      <w:r>
        <w:rPr>
          <w:rFonts w:eastAsiaTheme="minorHAnsi" w:cs="Arial"/>
          <w:lang w:val="fr-FR"/>
        </w:rPr>
        <w:t>Transports Canada</w:t>
      </w:r>
      <w:r w:rsidR="00E57BA1" w:rsidRPr="00E57BA1">
        <w:rPr>
          <w:rFonts w:eastAsiaTheme="minorHAnsi" w:cs="Arial"/>
          <w:lang w:val="fr-FR"/>
        </w:rPr>
        <w:t xml:space="preserve"> est convaincu que le projet est peu susceptible de causer des effets négatifs sur l’environnement.</w:t>
      </w:r>
      <w:r w:rsidR="00E57BA1" w:rsidRPr="00E57BA1">
        <w:rPr>
          <w:rFonts w:eastAsiaTheme="minorHAnsi" w:cs="Arial"/>
        </w:rPr>
        <w:t> </w:t>
      </w:r>
      <w:r w:rsidR="00E57BA1" w:rsidRPr="00E57BA1">
        <w:rPr>
          <w:rFonts w:eastAsiaTheme="minorHAnsi" w:cs="Arial"/>
          <w:lang w:val="fr-FR"/>
        </w:rPr>
        <w:t xml:space="preserve">Par conséquent, </w:t>
      </w:r>
      <w:r w:rsidR="00982A12">
        <w:rPr>
          <w:rFonts w:eastAsiaTheme="minorHAnsi" w:cs="Arial"/>
          <w:lang w:val="fr-FR"/>
        </w:rPr>
        <w:t>Transports Canada peut</w:t>
      </w:r>
      <w:r w:rsidR="00E57BA1" w:rsidRPr="00E57BA1">
        <w:rPr>
          <w:rFonts w:eastAsiaTheme="minorHAnsi" w:cs="Arial"/>
          <w:lang w:val="fr-FR"/>
        </w:rPr>
        <w:t xml:space="preserve"> exercer tout pouvoir</w:t>
      </w:r>
      <w:r w:rsidR="00982A12">
        <w:rPr>
          <w:rFonts w:eastAsiaTheme="minorHAnsi" w:cs="Arial"/>
          <w:lang w:val="fr-FR"/>
        </w:rPr>
        <w:t xml:space="preserve"> ou </w:t>
      </w:r>
      <w:r w:rsidR="00E57BA1" w:rsidRPr="00E57BA1">
        <w:rPr>
          <w:rFonts w:eastAsiaTheme="minorHAnsi" w:cs="Arial"/>
          <w:lang w:val="fr-FR"/>
        </w:rPr>
        <w:t>toute fonction pour permettre la réalisation du projet.</w:t>
      </w:r>
      <w:r w:rsidR="00E57BA1" w:rsidRPr="00E57BA1">
        <w:rPr>
          <w:rFonts w:eastAsiaTheme="minorHAnsi" w:cs="Arial"/>
        </w:rPr>
        <w:t> </w:t>
      </w:r>
    </w:p>
    <w:sectPr w:rsidR="00E57BA1" w:rsidRPr="00E57BA1" w:rsidSect="00525DE9">
      <w:headerReference w:type="even" r:id="rId12"/>
      <w:headerReference w:type="default" r:id="rId13"/>
      <w:headerReference w:type="first" r:id="rId14"/>
      <w:pgSz w:w="12240" w:h="15840"/>
      <w:pgMar w:top="1440" w:right="1080" w:bottom="1440" w:left="1080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1A32" w14:textId="77777777" w:rsidR="00E72A09" w:rsidRDefault="00E72A09" w:rsidP="00290329">
      <w:r>
        <w:separator/>
      </w:r>
    </w:p>
  </w:endnote>
  <w:endnote w:type="continuationSeparator" w:id="0">
    <w:p w14:paraId="7EBDA9EC" w14:textId="77777777" w:rsidR="00E72A09" w:rsidRDefault="00E72A09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3E23" w14:textId="77777777" w:rsidR="00E72A09" w:rsidRDefault="00E72A09" w:rsidP="00290329">
      <w:r>
        <w:separator/>
      </w:r>
    </w:p>
  </w:footnote>
  <w:footnote w:type="continuationSeparator" w:id="0">
    <w:p w14:paraId="0B9A9A29" w14:textId="77777777" w:rsidR="00E72A09" w:rsidRDefault="00E72A09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0537B2"/>
    <w:multiLevelType w:val="multilevel"/>
    <w:tmpl w:val="FFA648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ptos" w:hAnsi="Aptos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2731FF"/>
    <w:multiLevelType w:val="multilevel"/>
    <w:tmpl w:val="926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FE31D7"/>
    <w:multiLevelType w:val="multilevel"/>
    <w:tmpl w:val="74D8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002503"/>
    <w:multiLevelType w:val="multilevel"/>
    <w:tmpl w:val="531EF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C3D85"/>
    <w:multiLevelType w:val="hybridMultilevel"/>
    <w:tmpl w:val="BA5AAA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F0878"/>
    <w:multiLevelType w:val="hybridMultilevel"/>
    <w:tmpl w:val="3A089EB4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B0D6D"/>
    <w:multiLevelType w:val="multilevel"/>
    <w:tmpl w:val="662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1813"/>
    <w:multiLevelType w:val="multilevel"/>
    <w:tmpl w:val="7E08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97898"/>
    <w:multiLevelType w:val="multilevel"/>
    <w:tmpl w:val="7408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90EB8"/>
    <w:multiLevelType w:val="hybridMultilevel"/>
    <w:tmpl w:val="CE981E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90CD2"/>
    <w:multiLevelType w:val="multilevel"/>
    <w:tmpl w:val="F6E2E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111D2"/>
    <w:multiLevelType w:val="multilevel"/>
    <w:tmpl w:val="A1B0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24"/>
  </w:num>
  <w:num w:numId="13" w16cid:durableId="1516530898">
    <w:abstractNumId w:val="34"/>
  </w:num>
  <w:num w:numId="14" w16cid:durableId="1457525745">
    <w:abstractNumId w:val="35"/>
  </w:num>
  <w:num w:numId="15" w16cid:durableId="3409232">
    <w:abstractNumId w:val="34"/>
    <w:lvlOverride w:ilvl="0">
      <w:startOverride w:val="1"/>
    </w:lvlOverride>
  </w:num>
  <w:num w:numId="16" w16cid:durableId="577373802">
    <w:abstractNumId w:val="24"/>
    <w:lvlOverride w:ilvl="0">
      <w:startOverride w:val="1"/>
    </w:lvlOverride>
  </w:num>
  <w:num w:numId="17" w16cid:durableId="1091390872">
    <w:abstractNumId w:val="34"/>
    <w:lvlOverride w:ilvl="0">
      <w:startOverride w:val="1"/>
    </w:lvlOverride>
  </w:num>
  <w:num w:numId="18" w16cid:durableId="767191538">
    <w:abstractNumId w:val="24"/>
  </w:num>
  <w:num w:numId="19" w16cid:durableId="1460101200">
    <w:abstractNumId w:val="34"/>
  </w:num>
  <w:num w:numId="20" w16cid:durableId="1745369524">
    <w:abstractNumId w:val="34"/>
  </w:num>
  <w:num w:numId="21" w16cid:durableId="1549730277">
    <w:abstractNumId w:val="26"/>
  </w:num>
  <w:num w:numId="22" w16cid:durableId="1658146333">
    <w:abstractNumId w:val="31"/>
  </w:num>
  <w:num w:numId="23" w16cid:durableId="268200446">
    <w:abstractNumId w:val="18"/>
  </w:num>
  <w:num w:numId="24" w16cid:durableId="77484624">
    <w:abstractNumId w:val="22"/>
  </w:num>
  <w:num w:numId="25" w16cid:durableId="2121215421">
    <w:abstractNumId w:val="42"/>
  </w:num>
  <w:num w:numId="26" w16cid:durableId="4774547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5"/>
  </w:num>
  <w:num w:numId="28" w16cid:durableId="1508402489">
    <w:abstractNumId w:val="36"/>
  </w:num>
  <w:num w:numId="29" w16cid:durableId="1088772042">
    <w:abstractNumId w:val="39"/>
  </w:num>
  <w:num w:numId="30" w16cid:durableId="1788547362">
    <w:abstractNumId w:val="17"/>
  </w:num>
  <w:num w:numId="31" w16cid:durableId="759567538">
    <w:abstractNumId w:val="16"/>
  </w:num>
  <w:num w:numId="32" w16cid:durableId="400520949">
    <w:abstractNumId w:val="38"/>
  </w:num>
  <w:num w:numId="33" w16cid:durableId="1782217234">
    <w:abstractNumId w:val="30"/>
  </w:num>
  <w:num w:numId="34" w16cid:durableId="682586611">
    <w:abstractNumId w:val="28"/>
  </w:num>
  <w:num w:numId="35" w16cid:durableId="1315328610">
    <w:abstractNumId w:val="19"/>
  </w:num>
  <w:num w:numId="36" w16cid:durableId="1994719838">
    <w:abstractNumId w:val="32"/>
  </w:num>
  <w:num w:numId="37" w16cid:durableId="1453791889">
    <w:abstractNumId w:val="20"/>
  </w:num>
  <w:num w:numId="38" w16cid:durableId="967516772">
    <w:abstractNumId w:val="41"/>
  </w:num>
  <w:num w:numId="39" w16cid:durableId="1269267929">
    <w:abstractNumId w:val="23"/>
  </w:num>
  <w:num w:numId="40" w16cid:durableId="747119565">
    <w:abstractNumId w:val="21"/>
  </w:num>
  <w:num w:numId="41" w16cid:durableId="629937542">
    <w:abstractNumId w:val="37"/>
  </w:num>
  <w:num w:numId="42" w16cid:durableId="687029462">
    <w:abstractNumId w:val="27"/>
  </w:num>
  <w:num w:numId="43" w16cid:durableId="1657800290">
    <w:abstractNumId w:val="13"/>
  </w:num>
  <w:num w:numId="44" w16cid:durableId="1853454520">
    <w:abstractNumId w:val="33"/>
  </w:num>
  <w:num w:numId="45" w16cid:durableId="1404182446">
    <w:abstractNumId w:val="25"/>
  </w:num>
  <w:num w:numId="46" w16cid:durableId="558899109">
    <w:abstractNumId w:val="12"/>
  </w:num>
  <w:num w:numId="47" w16cid:durableId="1572158326">
    <w:abstractNumId w:val="14"/>
  </w:num>
  <w:num w:numId="48" w16cid:durableId="2079014395">
    <w:abstractNumId w:val="40"/>
  </w:num>
  <w:num w:numId="49" w16cid:durableId="1578594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CFD"/>
    <w:rsid w:val="0002328F"/>
    <w:rsid w:val="00046F6B"/>
    <w:rsid w:val="00051100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E3667"/>
    <w:rsid w:val="000E5223"/>
    <w:rsid w:val="000E610C"/>
    <w:rsid w:val="000F6686"/>
    <w:rsid w:val="001009BF"/>
    <w:rsid w:val="00100BC5"/>
    <w:rsid w:val="0012009A"/>
    <w:rsid w:val="00121D23"/>
    <w:rsid w:val="0012216D"/>
    <w:rsid w:val="0013677D"/>
    <w:rsid w:val="00146A00"/>
    <w:rsid w:val="001620A2"/>
    <w:rsid w:val="001644B5"/>
    <w:rsid w:val="00165BA0"/>
    <w:rsid w:val="00172340"/>
    <w:rsid w:val="00173895"/>
    <w:rsid w:val="001739D3"/>
    <w:rsid w:val="001960E9"/>
    <w:rsid w:val="001B73D4"/>
    <w:rsid w:val="001E70B6"/>
    <w:rsid w:val="001F166A"/>
    <w:rsid w:val="001F6C12"/>
    <w:rsid w:val="001F7B9D"/>
    <w:rsid w:val="00214EDB"/>
    <w:rsid w:val="00222843"/>
    <w:rsid w:val="0022790C"/>
    <w:rsid w:val="00234785"/>
    <w:rsid w:val="00236E73"/>
    <w:rsid w:val="0025122D"/>
    <w:rsid w:val="00261EC9"/>
    <w:rsid w:val="002642BF"/>
    <w:rsid w:val="00270BAA"/>
    <w:rsid w:val="00274588"/>
    <w:rsid w:val="00290329"/>
    <w:rsid w:val="0029784E"/>
    <w:rsid w:val="002A4986"/>
    <w:rsid w:val="002A5985"/>
    <w:rsid w:val="002B45CB"/>
    <w:rsid w:val="002C2DD2"/>
    <w:rsid w:val="002F0099"/>
    <w:rsid w:val="002F1A22"/>
    <w:rsid w:val="002F7247"/>
    <w:rsid w:val="00306D00"/>
    <w:rsid w:val="003158FA"/>
    <w:rsid w:val="0032389E"/>
    <w:rsid w:val="00333BE3"/>
    <w:rsid w:val="00336BDC"/>
    <w:rsid w:val="00343659"/>
    <w:rsid w:val="00356440"/>
    <w:rsid w:val="00360D9C"/>
    <w:rsid w:val="00366037"/>
    <w:rsid w:val="00370768"/>
    <w:rsid w:val="00371DAB"/>
    <w:rsid w:val="0037701B"/>
    <w:rsid w:val="003803B6"/>
    <w:rsid w:val="003855C6"/>
    <w:rsid w:val="00390FFA"/>
    <w:rsid w:val="003A71C2"/>
    <w:rsid w:val="003C53E8"/>
    <w:rsid w:val="003D2DCB"/>
    <w:rsid w:val="003D2F05"/>
    <w:rsid w:val="003D2FBF"/>
    <w:rsid w:val="003D649A"/>
    <w:rsid w:val="003E3225"/>
    <w:rsid w:val="003E4E48"/>
    <w:rsid w:val="003E75DA"/>
    <w:rsid w:val="0040001E"/>
    <w:rsid w:val="0040208D"/>
    <w:rsid w:val="0041361A"/>
    <w:rsid w:val="00415C51"/>
    <w:rsid w:val="00423A21"/>
    <w:rsid w:val="00440D5E"/>
    <w:rsid w:val="00447E1C"/>
    <w:rsid w:val="004539B1"/>
    <w:rsid w:val="0045734A"/>
    <w:rsid w:val="00485DDA"/>
    <w:rsid w:val="004A0755"/>
    <w:rsid w:val="004B4535"/>
    <w:rsid w:val="004B5399"/>
    <w:rsid w:val="004B6CE3"/>
    <w:rsid w:val="004B707B"/>
    <w:rsid w:val="004D1FEB"/>
    <w:rsid w:val="004E1276"/>
    <w:rsid w:val="0050063C"/>
    <w:rsid w:val="00504C9A"/>
    <w:rsid w:val="00506611"/>
    <w:rsid w:val="00525DE9"/>
    <w:rsid w:val="0052616F"/>
    <w:rsid w:val="00530B49"/>
    <w:rsid w:val="005501D0"/>
    <w:rsid w:val="005668E3"/>
    <w:rsid w:val="0057275F"/>
    <w:rsid w:val="00573EC0"/>
    <w:rsid w:val="00575D24"/>
    <w:rsid w:val="00580216"/>
    <w:rsid w:val="00581C8B"/>
    <w:rsid w:val="00592B73"/>
    <w:rsid w:val="00595677"/>
    <w:rsid w:val="005A09DC"/>
    <w:rsid w:val="005A394F"/>
    <w:rsid w:val="005A548D"/>
    <w:rsid w:val="005B653D"/>
    <w:rsid w:val="005D009D"/>
    <w:rsid w:val="005D5F3B"/>
    <w:rsid w:val="005E4F3B"/>
    <w:rsid w:val="005E6C78"/>
    <w:rsid w:val="005F236B"/>
    <w:rsid w:val="00602B2E"/>
    <w:rsid w:val="00613C39"/>
    <w:rsid w:val="00616A94"/>
    <w:rsid w:val="006210A8"/>
    <w:rsid w:val="00621DB2"/>
    <w:rsid w:val="0067073D"/>
    <w:rsid w:val="006709D1"/>
    <w:rsid w:val="006779C7"/>
    <w:rsid w:val="00684E2E"/>
    <w:rsid w:val="006930B8"/>
    <w:rsid w:val="00694B33"/>
    <w:rsid w:val="006A5171"/>
    <w:rsid w:val="006B0A02"/>
    <w:rsid w:val="006B1219"/>
    <w:rsid w:val="006C3F38"/>
    <w:rsid w:val="006D0755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10C6"/>
    <w:rsid w:val="00765537"/>
    <w:rsid w:val="00773C3A"/>
    <w:rsid w:val="00786C3F"/>
    <w:rsid w:val="007906F2"/>
    <w:rsid w:val="00795340"/>
    <w:rsid w:val="00797761"/>
    <w:rsid w:val="007B2EAE"/>
    <w:rsid w:val="007B6F6C"/>
    <w:rsid w:val="007C51B0"/>
    <w:rsid w:val="007D1EA3"/>
    <w:rsid w:val="007D5546"/>
    <w:rsid w:val="007D697A"/>
    <w:rsid w:val="00801A9C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C005F"/>
    <w:rsid w:val="008E33CE"/>
    <w:rsid w:val="00901FFB"/>
    <w:rsid w:val="00902944"/>
    <w:rsid w:val="00910111"/>
    <w:rsid w:val="009140E2"/>
    <w:rsid w:val="009245B2"/>
    <w:rsid w:val="009253AE"/>
    <w:rsid w:val="00934FB2"/>
    <w:rsid w:val="00945D49"/>
    <w:rsid w:val="00947C42"/>
    <w:rsid w:val="00947E58"/>
    <w:rsid w:val="009510C9"/>
    <w:rsid w:val="00961795"/>
    <w:rsid w:val="00964AE3"/>
    <w:rsid w:val="009670E7"/>
    <w:rsid w:val="00981266"/>
    <w:rsid w:val="00982A12"/>
    <w:rsid w:val="00992C83"/>
    <w:rsid w:val="009A26C0"/>
    <w:rsid w:val="009C22C8"/>
    <w:rsid w:val="009C382A"/>
    <w:rsid w:val="009D0E0D"/>
    <w:rsid w:val="009D7354"/>
    <w:rsid w:val="009E3A71"/>
    <w:rsid w:val="009F0521"/>
    <w:rsid w:val="009F4E20"/>
    <w:rsid w:val="00A14C0D"/>
    <w:rsid w:val="00A233B9"/>
    <w:rsid w:val="00A255D9"/>
    <w:rsid w:val="00A26419"/>
    <w:rsid w:val="00A42373"/>
    <w:rsid w:val="00A47EAB"/>
    <w:rsid w:val="00A61DC3"/>
    <w:rsid w:val="00A760ED"/>
    <w:rsid w:val="00A82D90"/>
    <w:rsid w:val="00A83B08"/>
    <w:rsid w:val="00AA327B"/>
    <w:rsid w:val="00AA5797"/>
    <w:rsid w:val="00AA750B"/>
    <w:rsid w:val="00AA7AFD"/>
    <w:rsid w:val="00AB4844"/>
    <w:rsid w:val="00AC659A"/>
    <w:rsid w:val="00AD678D"/>
    <w:rsid w:val="00AE55CC"/>
    <w:rsid w:val="00AF2452"/>
    <w:rsid w:val="00AF4BB6"/>
    <w:rsid w:val="00B049B6"/>
    <w:rsid w:val="00B33685"/>
    <w:rsid w:val="00B401C8"/>
    <w:rsid w:val="00B43105"/>
    <w:rsid w:val="00B43551"/>
    <w:rsid w:val="00B523AE"/>
    <w:rsid w:val="00B62339"/>
    <w:rsid w:val="00B7155B"/>
    <w:rsid w:val="00B75D39"/>
    <w:rsid w:val="00B9058B"/>
    <w:rsid w:val="00B9140C"/>
    <w:rsid w:val="00BC7AEA"/>
    <w:rsid w:val="00BC7CF4"/>
    <w:rsid w:val="00BD4230"/>
    <w:rsid w:val="00BD502E"/>
    <w:rsid w:val="00BE1B8E"/>
    <w:rsid w:val="00BF47F4"/>
    <w:rsid w:val="00C012A2"/>
    <w:rsid w:val="00C10CED"/>
    <w:rsid w:val="00C160D5"/>
    <w:rsid w:val="00C23513"/>
    <w:rsid w:val="00C263DF"/>
    <w:rsid w:val="00C2756B"/>
    <w:rsid w:val="00C33D8E"/>
    <w:rsid w:val="00C57B37"/>
    <w:rsid w:val="00C636EE"/>
    <w:rsid w:val="00C63EF4"/>
    <w:rsid w:val="00C6615F"/>
    <w:rsid w:val="00C675CB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1556"/>
    <w:rsid w:val="00CE5F85"/>
    <w:rsid w:val="00CF3602"/>
    <w:rsid w:val="00CF3A2F"/>
    <w:rsid w:val="00CF5259"/>
    <w:rsid w:val="00CF6DFE"/>
    <w:rsid w:val="00D01EE7"/>
    <w:rsid w:val="00D02787"/>
    <w:rsid w:val="00D12298"/>
    <w:rsid w:val="00D122F6"/>
    <w:rsid w:val="00D14B5B"/>
    <w:rsid w:val="00D15F61"/>
    <w:rsid w:val="00D31AD0"/>
    <w:rsid w:val="00D3747D"/>
    <w:rsid w:val="00D55182"/>
    <w:rsid w:val="00D62463"/>
    <w:rsid w:val="00D70FF5"/>
    <w:rsid w:val="00D741F9"/>
    <w:rsid w:val="00D74D10"/>
    <w:rsid w:val="00D8061F"/>
    <w:rsid w:val="00D87ACA"/>
    <w:rsid w:val="00D93C79"/>
    <w:rsid w:val="00D97A03"/>
    <w:rsid w:val="00D97E69"/>
    <w:rsid w:val="00DA1B84"/>
    <w:rsid w:val="00DB514F"/>
    <w:rsid w:val="00DB592F"/>
    <w:rsid w:val="00DB5AF5"/>
    <w:rsid w:val="00DC6766"/>
    <w:rsid w:val="00DC679A"/>
    <w:rsid w:val="00DF1EFE"/>
    <w:rsid w:val="00DF251C"/>
    <w:rsid w:val="00E024FC"/>
    <w:rsid w:val="00E12204"/>
    <w:rsid w:val="00E204B4"/>
    <w:rsid w:val="00E215BB"/>
    <w:rsid w:val="00E215C3"/>
    <w:rsid w:val="00E2715A"/>
    <w:rsid w:val="00E305AC"/>
    <w:rsid w:val="00E315DB"/>
    <w:rsid w:val="00E33DA2"/>
    <w:rsid w:val="00E40CF1"/>
    <w:rsid w:val="00E46351"/>
    <w:rsid w:val="00E52A87"/>
    <w:rsid w:val="00E57BA1"/>
    <w:rsid w:val="00E60E1D"/>
    <w:rsid w:val="00E633E4"/>
    <w:rsid w:val="00E672C4"/>
    <w:rsid w:val="00E674ED"/>
    <w:rsid w:val="00E72A09"/>
    <w:rsid w:val="00E7370A"/>
    <w:rsid w:val="00E76F05"/>
    <w:rsid w:val="00E80C5E"/>
    <w:rsid w:val="00E9219F"/>
    <w:rsid w:val="00EA17C8"/>
    <w:rsid w:val="00EC1312"/>
    <w:rsid w:val="00ED4469"/>
    <w:rsid w:val="00EE0453"/>
    <w:rsid w:val="00EE3353"/>
    <w:rsid w:val="00F02442"/>
    <w:rsid w:val="00F07DFA"/>
    <w:rsid w:val="00F10D79"/>
    <w:rsid w:val="00F21C5C"/>
    <w:rsid w:val="00F418DB"/>
    <w:rsid w:val="00F45089"/>
    <w:rsid w:val="00F46758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C6B03"/>
    <w:rsid w:val="00FD6E9D"/>
    <w:rsid w:val="00FD77B7"/>
    <w:rsid w:val="00FE142D"/>
    <w:rsid w:val="00FE3E2A"/>
    <w:rsid w:val="00FF4131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6A51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customXml/itemProps2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955</Words>
  <Characters>5257</Characters>
  <Application>Microsoft Office Word</Application>
  <DocSecurity>0</DocSecurity>
  <Lines>43</Lines>
  <Paragraphs>12</Paragraphs>
  <ScaleCrop>false</ScaleCrop>
  <Company>AGENCE D’ÉVALUATION D’IMPACT DU CANADA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20</cp:revision>
  <cp:lastPrinted>2019-09-26T17:06:00Z</cp:lastPrinted>
  <dcterms:created xsi:type="dcterms:W3CDTF">2025-03-19T15:58:00Z</dcterms:created>
  <dcterms:modified xsi:type="dcterms:W3CDTF">2025-05-05T13:35:00Z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