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B9E9" w14:textId="77777777" w:rsidR="005C582C" w:rsidRPr="00B7451A" w:rsidRDefault="005C582C" w:rsidP="005C582C">
      <w:pPr>
        <w:pStyle w:val="Heading1"/>
        <w:spacing w:before="0" w:after="360"/>
        <w:rPr>
          <w:rFonts w:ascii="Arial Black" w:eastAsia="Arial Black" w:hAnsi="Arial Black" w:cs="Arial Black"/>
          <w:color w:val="6C93CD"/>
          <w:sz w:val="96"/>
          <w:szCs w:val="96"/>
          <w:lang w:val="fr-CA"/>
        </w:rPr>
      </w:pPr>
      <w:r w:rsidRPr="00B7451A">
        <w:rPr>
          <w:rFonts w:ascii="Arial Black" w:eastAsia="Arial Black" w:hAnsi="Arial Black" w:cs="Arial Black"/>
          <w:b/>
          <w:bCs/>
          <w:color w:val="6C93CD"/>
          <w:sz w:val="96"/>
          <w:szCs w:val="96"/>
          <w:lang w:val="fr-CA"/>
        </w:rPr>
        <w:t>Avis public</w:t>
      </w:r>
    </w:p>
    <w:p w14:paraId="3C13D2D2" w14:textId="77777777" w:rsidR="005C582C" w:rsidRPr="00F428FB" w:rsidRDefault="005C582C" w:rsidP="005C582C">
      <w:pPr>
        <w:pStyle w:val="Heading2"/>
        <w:spacing w:before="0" w:after="360"/>
        <w:rPr>
          <w:rFonts w:ascii="Arial Black" w:eastAsia="Arial Black" w:hAnsi="Arial Black" w:cs="Arial Black"/>
          <w:color w:val="6C93CD"/>
          <w:sz w:val="52"/>
          <w:szCs w:val="52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 xml:space="preserve">Systèmes alimentaires respectueux de la nature pour l'adaptation aux changements climatiques </w:t>
      </w:r>
      <w:r w:rsidRPr="00F428FB">
        <w:rPr>
          <w:rFonts w:ascii="Arial Black" w:eastAsia="Arial Black" w:hAnsi="Arial Black" w:cs="Arial Black"/>
          <w:b/>
          <w:bCs/>
          <w:color w:val="6C93CD"/>
          <w:sz w:val="52"/>
          <w:szCs w:val="52"/>
          <w:lang w:val="fr-CA"/>
        </w:rPr>
        <w:t xml:space="preserve"> – Période de consultation publique</w:t>
      </w:r>
    </w:p>
    <w:p w14:paraId="5F8B9E73" w14:textId="77777777" w:rsidR="005C582C" w:rsidRPr="00F428FB" w:rsidRDefault="005C582C" w:rsidP="005C582C">
      <w:pPr>
        <w:spacing w:after="180"/>
        <w:rPr>
          <w:rFonts w:ascii="Arial" w:eastAsia="Arial" w:hAnsi="Arial" w:cs="Arial"/>
          <w:color w:val="000000" w:themeColor="text1"/>
          <w:sz w:val="20"/>
          <w:szCs w:val="20"/>
          <w:lang w:val="fr-CA"/>
        </w:rPr>
      </w:pPr>
      <w:r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"/>
        </w:rPr>
        <w:t>[27 janvier 2025]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 xml:space="preserve"> – Affaires mondiales Canada doit déterminer si le projet </w:t>
      </w:r>
      <w:r w:rsidRPr="00F428FB">
        <w:rPr>
          <w:rFonts w:ascii="Aptos" w:eastAsia="Aptos" w:hAnsi="Aptos" w:cs="Aptos"/>
          <w:color w:val="000000" w:themeColor="text1"/>
          <w:lang w:val="fr-CA"/>
        </w:rPr>
        <w:t>Systèmes alimentaires respectueux de la nature pour l'adaptation aux changements climatiques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 xml:space="preserve">, situé </w:t>
      </w:r>
      <w:r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>en Éthiopie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 xml:space="preserve"> est susceptible d’entraîner des effets négatifs importants sur l’environnement.</w:t>
      </w:r>
    </w:p>
    <w:p w14:paraId="0A4A8BA8" w14:textId="77777777" w:rsidR="005C582C" w:rsidRPr="00F428FB" w:rsidRDefault="005C582C" w:rsidP="005C582C">
      <w:pPr>
        <w:spacing w:after="180"/>
        <w:rPr>
          <w:rFonts w:ascii="Arial" w:eastAsia="Arial" w:hAnsi="Arial" w:cs="Arial"/>
          <w:color w:val="000000" w:themeColor="text1"/>
          <w:sz w:val="20"/>
          <w:szCs w:val="20"/>
          <w:lang w:val="fr-CA"/>
        </w:rPr>
      </w:pP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 xml:space="preserve">Afin de contribuer à une prise de détermination éclairée, </w:t>
      </w:r>
      <w:r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 xml:space="preserve">Affaires mondiales Canada 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>invite le public à formuler des commentaires sur cette détermination. Tous les commentaires reçus seront considérés publics et pourraient être publiés en ligne.</w:t>
      </w:r>
    </w:p>
    <w:p w14:paraId="68DC5264" w14:textId="77777777" w:rsidR="005C582C" w:rsidRPr="00F428FB" w:rsidRDefault="005C582C" w:rsidP="005C582C">
      <w:pPr>
        <w:spacing w:after="180"/>
        <w:rPr>
          <w:rFonts w:ascii="Arial" w:eastAsia="Arial" w:hAnsi="Arial" w:cs="Arial"/>
          <w:color w:val="000000" w:themeColor="text1"/>
          <w:sz w:val="20"/>
          <w:szCs w:val="20"/>
          <w:lang w:val="fr-CA"/>
        </w:rPr>
      </w:pP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 xml:space="preserve">Les commentaires écrits peuvent être présentés </w:t>
      </w:r>
      <w:r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"/>
        </w:rPr>
        <w:t>d’ici le 26 février 2025 à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 xml:space="preserve"> :</w:t>
      </w:r>
    </w:p>
    <w:p w14:paraId="6751C687" w14:textId="77777777" w:rsidR="005C582C" w:rsidRPr="00F428FB" w:rsidRDefault="005C582C" w:rsidP="005C582C">
      <w:p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>Spécialistes de l’environnement</w:t>
      </w:r>
    </w:p>
    <w:p w14:paraId="473A2114" w14:textId="77777777" w:rsidR="005C582C" w:rsidRPr="00F428FB" w:rsidRDefault="005C582C" w:rsidP="005C582C">
      <w:p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>Affaires mondiales Canada</w:t>
      </w:r>
    </w:p>
    <w:p w14:paraId="1C13D5A8" w14:textId="77777777" w:rsidR="005C582C" w:rsidRPr="00F428FB" w:rsidRDefault="005C582C" w:rsidP="005C582C">
      <w:p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>200, promenade du Portage</w:t>
      </w:r>
    </w:p>
    <w:p w14:paraId="3FF85C42" w14:textId="77777777" w:rsidR="005C582C" w:rsidRPr="00F428FB" w:rsidRDefault="005C582C" w:rsidP="005C582C">
      <w:p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>Gatineau (QC) J8X 4B7</w:t>
      </w:r>
    </w:p>
    <w:p w14:paraId="35F81BBB" w14:textId="77777777" w:rsidR="005C582C" w:rsidRPr="00F428FB" w:rsidRDefault="005C582C" w:rsidP="005C582C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 xml:space="preserve">Courriel : </w:t>
      </w:r>
      <w:hyperlink r:id="rId6">
        <w:r w:rsidRPr="00F428FB">
          <w:rPr>
            <w:rStyle w:val="Hyperlink"/>
            <w:rFonts w:ascii="Aptos" w:eastAsia="Aptos" w:hAnsi="Aptos" w:cs="Aptos"/>
            <w:color w:val="467886"/>
            <w:lang w:val="fr-CA"/>
          </w:rPr>
          <w:t>CommentsIAARegistry-CommentairesRegistreLEI@international.gc.ca</w:t>
        </w:r>
        <w:r w:rsidRPr="00F428FB">
          <w:rPr>
            <w:lang w:val="fr-CA"/>
          </w:rPr>
          <w:br/>
        </w:r>
      </w:hyperlink>
      <w:r w:rsidRPr="00F428FB">
        <w:rPr>
          <w:rFonts w:ascii="Arial" w:eastAsia="Arial" w:hAnsi="Arial" w:cs="Arial"/>
          <w:color w:val="000000" w:themeColor="text1"/>
          <w:sz w:val="20"/>
          <w:szCs w:val="20"/>
          <w:lang w:val="fr"/>
        </w:rPr>
        <w:t xml:space="preserve"> </w:t>
      </w:r>
      <w:r w:rsidRPr="00F428FB">
        <w:rPr>
          <w:lang w:val="fr-CA"/>
        </w:rPr>
        <w:br/>
      </w:r>
    </w:p>
    <w:p w14:paraId="0A4CA0EA" w14:textId="77777777" w:rsidR="005C582C" w:rsidRPr="00F428FB" w:rsidRDefault="005C582C" w:rsidP="005C582C">
      <w:pPr>
        <w:pStyle w:val="Heading2"/>
        <w:spacing w:before="0" w:after="360"/>
        <w:rPr>
          <w:rFonts w:ascii="Arial Black" w:eastAsia="Arial Black" w:hAnsi="Arial Black" w:cs="Arial Black"/>
          <w:color w:val="6C93CD"/>
          <w:sz w:val="52"/>
          <w:szCs w:val="52"/>
          <w:lang w:val="fr-CA"/>
        </w:rPr>
      </w:pPr>
      <w:r w:rsidRPr="00F428FB">
        <w:rPr>
          <w:rFonts w:ascii="Arial Black" w:eastAsia="Arial Black" w:hAnsi="Arial Black" w:cs="Arial Black"/>
          <w:b/>
          <w:bCs/>
          <w:color w:val="6C93CD"/>
          <w:sz w:val="52"/>
          <w:szCs w:val="52"/>
          <w:lang w:val="fr-CA"/>
        </w:rPr>
        <w:t>Le projet proposé</w:t>
      </w:r>
    </w:p>
    <w:p w14:paraId="38C5EB87" w14:textId="77777777" w:rsidR="005C582C" w:rsidRPr="00052461" w:rsidRDefault="005C582C" w:rsidP="005C582C">
      <w:pPr>
        <w:spacing w:after="0"/>
        <w:rPr>
          <w:rFonts w:ascii="Arial" w:eastAsia="Arial" w:hAnsi="Arial" w:cs="Arial"/>
          <w:sz w:val="20"/>
          <w:szCs w:val="20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 xml:space="preserve">Le projet vise à améliorer les économies à faible émission de carbone et résilientes au climat dans les zones rurales d'Éthiopie, pour améliorer le bien-être des communautés, en particulier </w:t>
      </w:r>
      <w:r>
        <w:rPr>
          <w:rFonts w:ascii="Aptos" w:eastAsia="Aptos" w:hAnsi="Aptos" w:cs="Aptos"/>
          <w:color w:val="000000" w:themeColor="text1"/>
          <w:lang w:val="fr-CA"/>
        </w:rPr>
        <w:t xml:space="preserve">celui </w:t>
      </w:r>
      <w:r w:rsidRPr="00F428FB">
        <w:rPr>
          <w:rFonts w:ascii="Aptos" w:eastAsia="Aptos" w:hAnsi="Aptos" w:cs="Aptos"/>
          <w:color w:val="000000" w:themeColor="text1"/>
          <w:lang w:val="fr-CA"/>
        </w:rPr>
        <w:t>des femmes, des filles et d'autres groupes vulnérables. L'initiative Systèmes alimentaires respectueux de la nature pour l'adaptation aux changements climatiques (ou Nature +) est un programme de trois ans qui contribuera à la mise à l'échelle des systèmes alimentaires respectueux de la nature pour une meilleure adaptation au changement climatique. Nature + de déroulera dans les milieux ruraux de l'Éthiopie. Les ouvrages physiques proposés encourageront une meilleure gestion des ressources naturelles, du surpâturage, du contrôle et de la prévention de l'érosion et mèneront à une meilleure infiltration de l'eau et au captage d'eau de ruissellement. </w:t>
      </w:r>
      <w:r w:rsidRPr="00F428FB">
        <w:rPr>
          <w:rFonts w:ascii="Arial" w:eastAsia="Arial" w:hAnsi="Arial" w:cs="Arial"/>
          <w:sz w:val="20"/>
          <w:szCs w:val="20"/>
          <w:lang w:val="fr"/>
        </w:rPr>
        <w:t>Les travaux physiques proposés comprennent des micro-barrages et des gabions à mailles, des systèmes d’irrigation à petite échelle, des étangs agricoles, le contrôle des ravines, des terrasses et des tranchées</w:t>
      </w:r>
    </w:p>
    <w:p w14:paraId="1BE96E91" w14:textId="77777777" w:rsidR="005C582C" w:rsidRDefault="005C582C" w:rsidP="005C582C">
      <w:pPr>
        <w:rPr>
          <w:rFonts w:ascii="Aptos" w:eastAsia="Aptos" w:hAnsi="Aptos" w:cs="Aptos"/>
          <w:color w:val="000000" w:themeColor="text1"/>
          <w:lang w:val="fr-CA"/>
        </w:rPr>
      </w:pPr>
    </w:p>
    <w:p w14:paraId="65435FF4" w14:textId="77777777" w:rsidR="005C582C" w:rsidRPr="00FD7827" w:rsidRDefault="005C582C" w:rsidP="005C582C">
      <w:pPr>
        <w:rPr>
          <w:rFonts w:ascii="Aptos" w:eastAsia="Aptos" w:hAnsi="Aptos" w:cs="Aptos"/>
          <w:color w:val="000000" w:themeColor="text1"/>
          <w:lang w:val="fr-CA"/>
        </w:rPr>
      </w:pPr>
      <w:r w:rsidRPr="00FD7827">
        <w:rPr>
          <w:rFonts w:ascii="Aptos" w:eastAsia="Aptos" w:hAnsi="Aptos" w:cs="Aptos"/>
          <w:color w:val="000000" w:themeColor="text1"/>
          <w:lang w:val="fr-CA"/>
        </w:rPr>
        <w:lastRenderedPageBreak/>
        <w:t xml:space="preserve">Les </w:t>
      </w:r>
      <w:r>
        <w:rPr>
          <w:rFonts w:ascii="Aptos" w:eastAsia="Aptos" w:hAnsi="Aptos" w:cs="Aptos"/>
          <w:color w:val="000000" w:themeColor="text1"/>
          <w:lang w:val="fr-CA"/>
        </w:rPr>
        <w:t>ouvrages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physiques proposés incluent :</w:t>
      </w:r>
    </w:p>
    <w:p w14:paraId="64C50515" w14:textId="77777777" w:rsidR="005C582C" w:rsidRPr="00FD7827" w:rsidRDefault="005C582C" w:rsidP="005C582C">
      <w:pPr>
        <w:rPr>
          <w:rFonts w:ascii="Aptos" w:eastAsia="Aptos" w:hAnsi="Aptos" w:cs="Aptos"/>
          <w:color w:val="000000" w:themeColor="text1"/>
          <w:lang w:val="fr-CA"/>
        </w:rPr>
      </w:pP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• </w:t>
      </w:r>
      <w:r w:rsidRPr="00FD7827">
        <w:rPr>
          <w:rFonts w:ascii="Aptos" w:eastAsia="Aptos" w:hAnsi="Aptos" w:cs="Aptos"/>
          <w:b/>
          <w:bCs/>
          <w:color w:val="000000" w:themeColor="text1"/>
          <w:lang w:val="fr-CA"/>
        </w:rPr>
        <w:t>Micro-barrages et gabions en treillis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qui seront construits pour stabiliser le sol, prévenir l’érosion, maintenir les pentes et contrôler </w:t>
      </w:r>
      <w:r>
        <w:rPr>
          <w:rFonts w:ascii="Aptos" w:eastAsia="Aptos" w:hAnsi="Aptos" w:cs="Aptos"/>
          <w:color w:val="000000" w:themeColor="text1"/>
          <w:lang w:val="fr-CA"/>
        </w:rPr>
        <w:t xml:space="preserve">le ruissellement </w:t>
      </w:r>
      <w:r w:rsidRPr="00FD7827">
        <w:rPr>
          <w:rFonts w:ascii="Aptos" w:eastAsia="Aptos" w:hAnsi="Aptos" w:cs="Aptos"/>
          <w:color w:val="000000" w:themeColor="text1"/>
          <w:lang w:val="fr-CA"/>
        </w:rPr>
        <w:t>de l’eau lors d’événements pluvieux de forte intensité.</w:t>
      </w:r>
    </w:p>
    <w:p w14:paraId="7560D09D" w14:textId="77777777" w:rsidR="005C582C" w:rsidRPr="00FD7827" w:rsidRDefault="005C582C" w:rsidP="005C582C">
      <w:pPr>
        <w:rPr>
          <w:rFonts w:ascii="Aptos" w:eastAsia="Aptos" w:hAnsi="Aptos" w:cs="Aptos"/>
          <w:color w:val="000000" w:themeColor="text1"/>
          <w:lang w:val="fr-CA"/>
        </w:rPr>
      </w:pP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• </w:t>
      </w:r>
      <w:r w:rsidRPr="00FD7827">
        <w:rPr>
          <w:rFonts w:ascii="Aptos" w:eastAsia="Aptos" w:hAnsi="Aptos" w:cs="Aptos"/>
          <w:b/>
          <w:bCs/>
          <w:color w:val="000000" w:themeColor="text1"/>
          <w:lang w:val="fr-CA"/>
        </w:rPr>
        <w:t>Systèmes d’irrigation à petite échelle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</w:t>
      </w:r>
      <w:r>
        <w:rPr>
          <w:rFonts w:ascii="Aptos" w:eastAsia="Aptos" w:hAnsi="Aptos" w:cs="Aptos"/>
          <w:color w:val="000000" w:themeColor="text1"/>
          <w:lang w:val="fr-CA"/>
        </w:rPr>
        <w:t>comprennent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la construction de canaux revêtus menant à des bassins de stockage qui aideront à irriguer jusqu’à 63 hectares de terres cultivées.</w:t>
      </w:r>
    </w:p>
    <w:p w14:paraId="1E301D02" w14:textId="77777777" w:rsidR="005C582C" w:rsidRPr="00FD7827" w:rsidRDefault="005C582C" w:rsidP="005C582C">
      <w:pPr>
        <w:rPr>
          <w:rFonts w:ascii="Aptos" w:eastAsia="Aptos" w:hAnsi="Aptos" w:cs="Aptos"/>
          <w:color w:val="000000" w:themeColor="text1"/>
          <w:lang w:val="fr-CA"/>
        </w:rPr>
      </w:pP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• </w:t>
      </w:r>
      <w:r>
        <w:rPr>
          <w:rFonts w:ascii="Aptos" w:eastAsia="Aptos" w:hAnsi="Aptos" w:cs="Aptos"/>
          <w:b/>
          <w:bCs/>
          <w:color w:val="000000" w:themeColor="text1"/>
          <w:lang w:val="fr-CA"/>
        </w:rPr>
        <w:t>Étangs de rétention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aménagés pour permettre </w:t>
      </w:r>
      <w:r>
        <w:rPr>
          <w:rFonts w:ascii="Aptos" w:eastAsia="Aptos" w:hAnsi="Aptos" w:cs="Aptos"/>
          <w:color w:val="000000" w:themeColor="text1"/>
          <w:lang w:val="fr-CA"/>
        </w:rPr>
        <w:t>la collecte d’eau issue de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précipitations</w:t>
      </w:r>
      <w:r>
        <w:rPr>
          <w:rFonts w:ascii="Aptos" w:eastAsia="Aptos" w:hAnsi="Aptos" w:cs="Aptos"/>
          <w:color w:val="000000" w:themeColor="text1"/>
          <w:lang w:val="fr-CA"/>
        </w:rPr>
        <w:t xml:space="preserve"> fortes dépassant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500 mm. </w:t>
      </w:r>
      <w:r>
        <w:rPr>
          <w:rFonts w:ascii="Aptos" w:eastAsia="Aptos" w:hAnsi="Aptos" w:cs="Aptos"/>
          <w:color w:val="000000" w:themeColor="text1"/>
          <w:lang w:val="fr-CA"/>
        </w:rPr>
        <w:t>C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es étangs captureront et stockeront l’eau de pluie </w:t>
      </w:r>
      <w:r>
        <w:rPr>
          <w:rFonts w:ascii="Aptos" w:eastAsia="Aptos" w:hAnsi="Aptos" w:cs="Aptos"/>
          <w:color w:val="000000" w:themeColor="text1"/>
          <w:lang w:val="fr-CA"/>
        </w:rPr>
        <w:t>qui servira à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l’irrigation </w:t>
      </w:r>
      <w:r>
        <w:rPr>
          <w:rFonts w:ascii="Aptos" w:eastAsia="Aptos" w:hAnsi="Aptos" w:cs="Aptos"/>
          <w:color w:val="000000" w:themeColor="text1"/>
          <w:lang w:val="fr-CA"/>
        </w:rPr>
        <w:t xml:space="preserve">de terres agricoles </w:t>
      </w:r>
      <w:r w:rsidRPr="00FD7827">
        <w:rPr>
          <w:rFonts w:ascii="Aptos" w:eastAsia="Aptos" w:hAnsi="Aptos" w:cs="Aptos"/>
          <w:color w:val="000000" w:themeColor="text1"/>
          <w:lang w:val="fr-CA"/>
        </w:rPr>
        <w:t>lors de périodes prolongées de sécheresse. Leur empreinte cumulée sera de 2400 mètres carrés.</w:t>
      </w:r>
    </w:p>
    <w:p w14:paraId="36D5A6E0" w14:textId="77777777" w:rsidR="005C582C" w:rsidRPr="00FD7827" w:rsidRDefault="005C582C" w:rsidP="005C582C">
      <w:pPr>
        <w:rPr>
          <w:rFonts w:ascii="Aptos" w:eastAsia="Aptos" w:hAnsi="Aptos" w:cs="Aptos"/>
          <w:color w:val="000000" w:themeColor="text1"/>
          <w:lang w:val="fr-CA"/>
        </w:rPr>
      </w:pP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• </w:t>
      </w:r>
      <w:r w:rsidRPr="00FD7827">
        <w:rPr>
          <w:rFonts w:ascii="Aptos" w:eastAsia="Aptos" w:hAnsi="Aptos" w:cs="Aptos"/>
          <w:b/>
          <w:bCs/>
          <w:color w:val="000000" w:themeColor="text1"/>
          <w:lang w:val="fr-CA"/>
        </w:rPr>
        <w:t>Ravins et barrages en fil de fer tressé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construits pour minimiser le ruissellement et l’érosion des berges, tout en permettant le stockage d’eau en amont pour l’irrigation. Les barrages en fil de fer tressé seront construits à des intervalles de 1,2 m et à une profondeur de 60 à 90 cm. Un treillis métallique de fort calibre sera placé contre chaque poteau structurel, avec sa partie inférieure enfouie dans une tranchée de 15 à 20 cm, de sorte que 25 à 30 cm dépassent du sol le long de l’intervalle de déversoir. Des roches, des broussailles ou du gazon peuvent être placés sur une longueur de 1,2 m pour former l’avant-barrage. Pour sceller la structure, de la paille, des broussailles fines ou un matériau similaire seront placés contre le treillis sur le côté amont, jusqu’à la hauteur du sommet du déversoir.</w:t>
      </w:r>
    </w:p>
    <w:p w14:paraId="3D6FAE5A" w14:textId="77777777" w:rsidR="005C582C" w:rsidRPr="00FD7827" w:rsidRDefault="005C582C" w:rsidP="005C582C">
      <w:pPr>
        <w:rPr>
          <w:rFonts w:ascii="Aptos" w:eastAsia="Aptos" w:hAnsi="Aptos" w:cs="Aptos"/>
          <w:color w:val="000000" w:themeColor="text1"/>
          <w:lang w:val="fr-CA"/>
        </w:rPr>
      </w:pP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• </w:t>
      </w:r>
      <w:r w:rsidRPr="00FD7827">
        <w:rPr>
          <w:rFonts w:ascii="Aptos" w:eastAsia="Aptos" w:hAnsi="Aptos" w:cs="Aptos"/>
          <w:b/>
          <w:bCs/>
          <w:color w:val="000000" w:themeColor="text1"/>
          <w:lang w:val="fr-CA"/>
        </w:rPr>
        <w:t>Tranchées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</w:t>
      </w:r>
      <w:r>
        <w:rPr>
          <w:rFonts w:ascii="Aptos" w:eastAsia="Aptos" w:hAnsi="Aptos" w:cs="Aptos"/>
          <w:color w:val="000000" w:themeColor="text1"/>
          <w:lang w:val="fr-CA"/>
        </w:rPr>
        <w:t>creusées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le long des courbes de niveau de la </w:t>
      </w:r>
      <w:r>
        <w:rPr>
          <w:rFonts w:ascii="Aptos" w:eastAsia="Aptos" w:hAnsi="Aptos" w:cs="Aptos"/>
          <w:color w:val="000000" w:themeColor="text1"/>
          <w:lang w:val="fr-CA"/>
        </w:rPr>
        <w:t>pente viendont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piéger l’eau de ruissellement et </w:t>
      </w:r>
      <w:r>
        <w:rPr>
          <w:rFonts w:ascii="Aptos" w:eastAsia="Aptos" w:hAnsi="Aptos" w:cs="Aptos"/>
          <w:color w:val="000000" w:themeColor="text1"/>
          <w:lang w:val="fr-CA"/>
        </w:rPr>
        <w:t>permettront une infiltration plus lente</w:t>
      </w:r>
      <w:r w:rsidRPr="00FD7827">
        <w:rPr>
          <w:rFonts w:ascii="Aptos" w:eastAsia="Aptos" w:hAnsi="Aptos" w:cs="Aptos"/>
          <w:color w:val="000000" w:themeColor="text1"/>
          <w:lang w:val="fr-CA"/>
        </w:rPr>
        <w:t xml:space="preserve"> dans la nappe phréatique, limitant ainsi le ruissellement de surface et l’érosion.</w:t>
      </w:r>
    </w:p>
    <w:p w14:paraId="00807769" w14:textId="77777777" w:rsidR="005C582C" w:rsidRDefault="005C582C" w:rsidP="005C582C">
      <w:pPr>
        <w:rPr>
          <w:rFonts w:ascii="Aptos" w:eastAsia="Aptos" w:hAnsi="Aptos" w:cs="Aptos"/>
          <w:color w:val="000000" w:themeColor="text1"/>
          <w:lang w:val="fr-CA"/>
        </w:rPr>
      </w:pPr>
    </w:p>
    <w:p w14:paraId="3D79131B" w14:textId="77777777" w:rsidR="00E7660B" w:rsidRPr="005C582C" w:rsidRDefault="00E7660B">
      <w:pPr>
        <w:rPr>
          <w:lang w:val="fr-CA"/>
        </w:rPr>
      </w:pPr>
    </w:p>
    <w:sectPr w:rsidR="00E7660B" w:rsidRPr="005C582C" w:rsidSect="005C582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A983" w14:textId="77777777" w:rsidR="005C582C" w:rsidRDefault="005C582C" w:rsidP="005C582C">
      <w:pPr>
        <w:spacing w:after="0" w:line="240" w:lineRule="auto"/>
      </w:pPr>
      <w:r>
        <w:separator/>
      </w:r>
    </w:p>
  </w:endnote>
  <w:endnote w:type="continuationSeparator" w:id="0">
    <w:p w14:paraId="0ACAD85F" w14:textId="77777777" w:rsidR="005C582C" w:rsidRDefault="005C582C" w:rsidP="005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FD5F" w14:textId="77777777" w:rsidR="005C582C" w:rsidRDefault="005C582C" w:rsidP="005C582C">
      <w:pPr>
        <w:spacing w:after="0" w:line="240" w:lineRule="auto"/>
      </w:pPr>
      <w:r>
        <w:separator/>
      </w:r>
    </w:p>
  </w:footnote>
  <w:footnote w:type="continuationSeparator" w:id="0">
    <w:p w14:paraId="7D5DD469" w14:textId="77777777" w:rsidR="005C582C" w:rsidRDefault="005C582C" w:rsidP="005C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36CA" w14:textId="23BC6B86" w:rsidR="005C582C" w:rsidRDefault="005C582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75A6DC" wp14:editId="7E1981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79600" cy="357505"/>
              <wp:effectExtent l="0" t="0" r="0" b="4445"/>
              <wp:wrapNone/>
              <wp:docPr id="896826294" name="Text Box 2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BABB7" w14:textId="21D77E93" w:rsidR="005C582C" w:rsidRPr="005C582C" w:rsidRDefault="005C582C" w:rsidP="005C58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58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5A6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NON CLASSIFIÉ" style="position:absolute;margin-left:96.8pt;margin-top:0;width:148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FhEQIAACIEAAAOAAAAZHJzL2Uyb0RvYy54bWysU8lu2zAQvRfoPxC815LdOotgOXATuChg&#10;JAGcImeaIi0BFIcgaUvu13eG8pKmPRW9UMOZ0SzvPc7u+tawvfKhAVvy8SjnTFkJVWO3Jf/xsvx0&#10;w1mIwlbCgFUlP6jA7+YfP8w6V6gJ1GAq5RkWsaHoXMnrGF2RZUHWqhVhBE5ZDGrwrYh49dus8qLD&#10;6q3JJnl+lXXgK+dBqhDQ+zAE+TzV11rJ+KR1UJGZkuNsMZ0+nRs6s/lMFFsvXN3I4xjiH6ZoRWOx&#10;6bnUg4iC7XzzR6m2kR4C6DiS0GagdSNV2gG3GefvtlnXwqm0C4IT3Bmm8P/Kysf92j17Fvuv0COB&#10;BEjnQhHQSfv02rf0xUkZxhHCwxk21Ucm6aeb69urHEMSY5+n19N8SmWyy9/Oh/hNQcvIKLlHWhJa&#10;Yr8KcUg9pVAzC8vGmESNsb85sCZ5ssuIZMV+07OmejP+BqoDbuVhIDw4uWyw9UqE+Cw8MozTomrj&#10;Ex7aQFdyOFqc1eB//s1P+Qg8RjnrUDEltyhpzsx3i4SQuJIxvs2nBIZPt8n0S063zSnJ7tp7QDGO&#10;8V04mUxKjuZkag/tK4p6Qd0wJKzEniWPJ/M+DvrFRyHVYpGSUExOxJVdO0mlCTMC9KV/Fd4dUY/I&#10;1yOcNCWKd+APufRncItdRAoSM4TvgOYRdhRi4vb4aEjpb+8p6/K0578AAAD//wMAUEsDBBQABgAI&#10;AAAAIQBMn3BD3QAAAAQBAAAPAAAAZHJzL2Rvd25yZXYueG1sTI9BS8NAEIXvgv9hGcGL2I0thjZm&#10;U0Qo2IMHqzl422SnSTA7G3a3afLvHb3Yy4PHG977Jt9Othcj+tA5UvCwSEAg1c501Cj4/Njdr0GE&#10;qMno3hEqmDHAtri+ynVm3JnecTzERnAJhUwraGMcMilD3aLVYeEGJM6Ozlsd2fpGGq/PXG57uUyS&#10;VFrdES+0esCXFuvvw8kqKCd/97bb7F/n6qsb52RfrtbHUqnbm+n5CUTEKf4fwy8+o0PBTJU7kQmi&#10;V8CPxD/lbLlJ2VYKHtMVyCKXl/DFDwAAAP//AwBQSwECLQAUAAYACAAAACEAtoM4kv4AAADhAQAA&#10;EwAAAAAAAAAAAAAAAAAAAAAAW0NvbnRlbnRfVHlwZXNdLnhtbFBLAQItABQABgAIAAAAIQA4/SH/&#10;1gAAAJQBAAALAAAAAAAAAAAAAAAAAC8BAABfcmVscy8ucmVsc1BLAQItABQABgAIAAAAIQCDBVFh&#10;EQIAACIEAAAOAAAAAAAAAAAAAAAAAC4CAABkcnMvZTJvRG9jLnhtbFBLAQItABQABgAIAAAAIQBM&#10;n3BD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25BABB7" w14:textId="21D77E93" w:rsidR="005C582C" w:rsidRPr="005C582C" w:rsidRDefault="005C582C" w:rsidP="005C58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58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E523" w14:textId="2DCB2EF0" w:rsidR="005C582C" w:rsidRDefault="005C582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D489CC" wp14:editId="3DA50C55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879600" cy="357505"/>
              <wp:effectExtent l="0" t="0" r="0" b="4445"/>
              <wp:wrapNone/>
              <wp:docPr id="1776878164" name="Text Box 3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90A53" w14:textId="7A9DEE3D" w:rsidR="005C582C" w:rsidRPr="005C582C" w:rsidRDefault="005C582C" w:rsidP="005C58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58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489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| NON CLASSIFIÉ" style="position:absolute;margin-left:96.8pt;margin-top:0;width:148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IjEwIAACIEAAAOAAAAZHJzL2Uyb0RvYy54bWysU8tu2zAQvBfoPxC815LdOg/BcuAmcFHA&#10;SAI4Rc40RVoCSC5B0pbcr++Skuw07anohVrurvYxM1zcdVqRo3C+AVPS6SSnRBgOVWP2Jf3xsv50&#10;Q4kPzFRMgRElPQlP75YfPyxaW4gZ1KAq4QgWMb5obUnrEGyRZZ7XQjM/ASsMBiU4zQJe3T6rHGux&#10;ulbZLM+vshZcZR1w4T16H/ogXab6UgoenqT0IhBVUpwtpNOlcxfPbLlgxd4xWzd8GIP9wxSaNQab&#10;nks9sMDIwTV/lNINd+BBhgkHnYGUDRdpB9xmmr/bZlszK9IuCI63Z5j8/yvLH49b++xI6L5ChwRG&#10;QFrrC4/OuE8nnY5fnJRgHCE8nWETXSA8/nRzfXuVY4hj7PP8ep7PY5ns8rd1PnwToEk0SuqQloQW&#10;O2586FPHlNjMwLpRKlGjzG8OrBk92WXEaIVu15GmKulsHH8H1Qm3ctAT7i1fN9h6w3x4Zg4ZxmlR&#10;teEJD6mgLSkMFiU1uJ9/88d8BB6jlLSomJIalDQl6rtBQqK4kjG9zecRDJdus/mXPN52Y5I56HtA&#10;MU7xXViezJgc1GhKB/oVRb2K3TDEDMeeJQ2jeR96/eKj4GK1SkkoJsvCxmwtj6UjZhHQl+6VOTug&#10;HpCvRxg1xYp34Pe58U9vV4eAFCRmIr49mgPsKMTE7fBootLf3lPW5WkvfwEAAP//AwBQSwMEFAAG&#10;AAgAAAAhAEyfcEPdAAAABAEAAA8AAABkcnMvZG93bnJldi54bWxMj0FLw0AQhe+C/2EZwYvYjS2G&#10;NmZTRCjYgwerOXjbZKdJMDsbdrdp8u8dvdjLg8cb3vsm3062FyP60DlS8LBIQCDVznTUKPj82N2v&#10;QYSoyejeESqYMcC2uL7KdWbcmd5xPMRGcAmFTCtoYxwyKUPdotVh4QYkzo7OWx3Z+kYar89cbnu5&#10;TJJUWt0RL7R6wJcW6+/DySooJ3/3ttvsX+fqqxvnZF+u1sdSqdub6fkJRMQp/h/DLz6jQ8FMlTuR&#10;CaJXwI/EP+VsuUnZVgoe0xXIIpeX8MUPAAAA//8DAFBLAQItABQABgAIAAAAIQC2gziS/gAAAOEB&#10;AAATAAAAAAAAAAAAAAAAAAAAAABbQ29udGVudF9UeXBlc10ueG1sUEsBAi0AFAAGAAgAAAAhADj9&#10;If/WAAAAlAEAAAsAAAAAAAAAAAAAAAAALwEAAF9yZWxzLy5yZWxzUEsBAi0AFAAGAAgAAAAhANKT&#10;oiMTAgAAIgQAAA4AAAAAAAAAAAAAAAAALgIAAGRycy9lMm9Eb2MueG1sUEsBAi0AFAAGAAgAAAAh&#10;AEyfcEP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BC90A53" w14:textId="7A9DEE3D" w:rsidR="005C582C" w:rsidRPr="005C582C" w:rsidRDefault="005C582C" w:rsidP="005C58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58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01C0" w14:textId="5556B069" w:rsidR="005C582C" w:rsidRDefault="005C582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BA8BD3" wp14:editId="258BAD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79600" cy="357505"/>
              <wp:effectExtent l="0" t="0" r="0" b="4445"/>
              <wp:wrapNone/>
              <wp:docPr id="992178992" name="Text Box 1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0F35" w14:textId="2F732957" w:rsidR="005C582C" w:rsidRPr="005C582C" w:rsidRDefault="005C582C" w:rsidP="005C58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58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A8B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| NON CLASSIFIÉ" style="position:absolute;margin-left:96.8pt;margin-top:0;width:148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wWNDwIAABsEAAAOAAAAZHJzL2Uyb0RvYy54bWysU01v2zAMvQ/YfxB0X+xkSz+MOEXWIsOA&#10;oC2QDj0rshQbkERBUmJnv36UbCddt9Owi0yR9CP5+LS467QiR+F8A6ak00lOiTAcqsbsS/rjZf3p&#10;hhIfmKmYAiNKehKe3i0/fli0thAzqEFVwhEEMb5obUnrEGyRZZ7XQjM/ASsMBiU4zQJe3T6rHGsR&#10;XatsludXWQuusg648B69D32QLhO+lIKHJym9CESVFHsL6XTp3MUzWy5YsXfM1g0f2mD/0IVmjcGi&#10;Z6gHFhg5uOYPKN1wBx5kmHDQGUjZcJFmwGmm+btptjWzIs2C5Hh7psn/P1j+eNzaZ0dC9xU6XGAk&#10;pLW+8OiM83TS6fjFTgnGkcLTmTbRBcLjTzfXt1c5hjjGPs+v5/k8wmSXv63z4ZsATaJRUodrSWyx&#10;48aHPnVMicUMrBul0mqU+c2BmNGTXVqMVuh23dD3DqoTjuOg37S3fN1gzQ3z4Zk5XC22iXINT3hI&#10;BW1JYbAoqcH9/Js/5iPjGKWkRamU1KCWKVHfDW4iqioZ09t8Hllw6Tabf8njbTcmmYO+B1ThFB+E&#10;5cmMyUGNpnSgX1HNq1gNQ8xwrFnSMJr3oRcuvgYuVquUhCqyLGzM1vIIHcmKTL50r8zZge6Ai3qE&#10;UUyseMd6nxv/9HZ1CMh9Wkkktmdz4BsVmJY6vJYo8bf3lHV508tfAAAA//8DAFBLAwQUAAYACAAA&#10;ACEATJ9wQ90AAAAEAQAADwAAAGRycy9kb3ducmV2LnhtbEyPQUvDQBCF74L/YRnBi9iNLYY2ZlNE&#10;KNiDB6s5eNtkp0kwOxt2t2ny7x292MuDxxve+ybfTrYXI/rQOVLwsEhAINXOdNQo+PzY3a9BhKjJ&#10;6N4RKpgxwLa4vsp1ZtyZ3nE8xEZwCYVMK2hjHDIpQ92i1WHhBiTOjs5bHdn6Rhqvz1xue7lMklRa&#10;3REvtHrAlxbr78PJKignf/e22+xf5+qrG+dkX67Wx1Kp25vp+QlExCn+H8MvPqNDwUyVO5EJolfA&#10;j8Q/5Wy5SdlWCh7TFcgil5fwxQ8AAAD//wMAUEsBAi0AFAAGAAgAAAAhALaDOJL+AAAA4QEAABMA&#10;AAAAAAAAAAAAAAAAAAAAAFtDb250ZW50X1R5cGVzXS54bWxQSwECLQAUAAYACAAAACEAOP0h/9YA&#10;AACUAQAACwAAAAAAAAAAAAAAAAAvAQAAX3JlbHMvLnJlbHNQSwECLQAUAAYACAAAACEAOUMFjQ8C&#10;AAAbBAAADgAAAAAAAAAAAAAAAAAuAgAAZHJzL2Uyb0RvYy54bWxQSwECLQAUAAYACAAAACEATJ9w&#10;Q90AAAAEAQAADwAAAAAAAAAAAAAAAABp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AAB0F35" w14:textId="2F732957" w:rsidR="005C582C" w:rsidRPr="005C582C" w:rsidRDefault="005C582C" w:rsidP="005C58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58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2C"/>
    <w:rsid w:val="00025EA7"/>
    <w:rsid w:val="000F3826"/>
    <w:rsid w:val="00112B85"/>
    <w:rsid w:val="001324D9"/>
    <w:rsid w:val="00147A19"/>
    <w:rsid w:val="00210273"/>
    <w:rsid w:val="002144F2"/>
    <w:rsid w:val="00215264"/>
    <w:rsid w:val="002851E0"/>
    <w:rsid w:val="002C6DA1"/>
    <w:rsid w:val="002F756E"/>
    <w:rsid w:val="003145D8"/>
    <w:rsid w:val="00384619"/>
    <w:rsid w:val="00387EE6"/>
    <w:rsid w:val="003D2080"/>
    <w:rsid w:val="003E370A"/>
    <w:rsid w:val="003E6CC1"/>
    <w:rsid w:val="00401104"/>
    <w:rsid w:val="00427B4E"/>
    <w:rsid w:val="00440D23"/>
    <w:rsid w:val="00442009"/>
    <w:rsid w:val="0052611B"/>
    <w:rsid w:val="0054433C"/>
    <w:rsid w:val="0054479D"/>
    <w:rsid w:val="00553771"/>
    <w:rsid w:val="005C582C"/>
    <w:rsid w:val="005D2C03"/>
    <w:rsid w:val="005E5054"/>
    <w:rsid w:val="00613B9E"/>
    <w:rsid w:val="00641853"/>
    <w:rsid w:val="00654BEA"/>
    <w:rsid w:val="006626B9"/>
    <w:rsid w:val="006A7D5C"/>
    <w:rsid w:val="007857EA"/>
    <w:rsid w:val="008055D1"/>
    <w:rsid w:val="00805DC1"/>
    <w:rsid w:val="00827D16"/>
    <w:rsid w:val="00841117"/>
    <w:rsid w:val="0086408C"/>
    <w:rsid w:val="009033CC"/>
    <w:rsid w:val="009132C0"/>
    <w:rsid w:val="009C1340"/>
    <w:rsid w:val="00A2597B"/>
    <w:rsid w:val="00B51AAB"/>
    <w:rsid w:val="00B77D7E"/>
    <w:rsid w:val="00B87510"/>
    <w:rsid w:val="00B91BE7"/>
    <w:rsid w:val="00BA1924"/>
    <w:rsid w:val="00BA72F5"/>
    <w:rsid w:val="00BB1CCA"/>
    <w:rsid w:val="00C12450"/>
    <w:rsid w:val="00C26255"/>
    <w:rsid w:val="00C42ECD"/>
    <w:rsid w:val="00C56852"/>
    <w:rsid w:val="00C644A5"/>
    <w:rsid w:val="00C85C53"/>
    <w:rsid w:val="00C97912"/>
    <w:rsid w:val="00D56E45"/>
    <w:rsid w:val="00D86FB5"/>
    <w:rsid w:val="00E7660B"/>
    <w:rsid w:val="00E92182"/>
    <w:rsid w:val="00EB41A4"/>
    <w:rsid w:val="00EB5609"/>
    <w:rsid w:val="00F02D69"/>
    <w:rsid w:val="00F600E5"/>
    <w:rsid w:val="00F76484"/>
    <w:rsid w:val="00F84611"/>
    <w:rsid w:val="00F91892"/>
    <w:rsid w:val="00F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3F27"/>
  <w15:chartTrackingRefBased/>
  <w15:docId w15:val="{31EF2527-63C6-487F-A815-FE7691C6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2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5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5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82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5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82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5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8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82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C58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ntsIAARegistry-CommentairesRegistreLEI@international.gc.ca?subject=CIAR%2C%20Information%20Reques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2f03b8-0213-4c72-a772-ef3d7143aa1c}" enabled="1" method="Privileged" siteId="{612e3f19-36e9-44c6-a7f0-9daa3a334fb9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Pappin, Jeremie -YOS</dc:creator>
  <cp:keywords/>
  <dc:description/>
  <cp:lastModifiedBy>Pappin, Jeremie -YOS</cp:lastModifiedBy>
  <cp:revision>1</cp:revision>
  <dcterms:created xsi:type="dcterms:W3CDTF">2025-05-09T18:53:00Z</dcterms:created>
  <dcterms:modified xsi:type="dcterms:W3CDTF">2025-05-09T18:53:00Z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3b237330,35747bb6,69e90254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| NON CLASSIFIÉ</vt:lpwstr>
  </property>
</Properties>
</file>