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2805" w14:textId="77777777" w:rsidR="00FF1A44" w:rsidRPr="00132F54" w:rsidRDefault="00FF1A44" w:rsidP="00FF1A44">
      <w:pPr>
        <w:rPr>
          <w:b/>
          <w:lang w:val="fr-CA"/>
        </w:rPr>
      </w:pPr>
      <w:r w:rsidRPr="00132F54">
        <w:rPr>
          <w:b/>
          <w:lang w:val="fr-CA"/>
        </w:rPr>
        <w:t>Avis de détermination</w:t>
      </w:r>
    </w:p>
    <w:p w14:paraId="2DCA1718" w14:textId="465B4320" w:rsidR="00FF1A44" w:rsidRPr="00132F54" w:rsidRDefault="00E60299" w:rsidP="007562F5">
      <w:pPr>
        <w:rPr>
          <w:lang w:val="fr-CA"/>
        </w:rPr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F1AF33" wp14:editId="79883D98">
                <wp:simplePos x="0" y="0"/>
                <wp:positionH relativeFrom="margin">
                  <wp:posOffset>-201150</wp:posOffset>
                </wp:positionH>
                <wp:positionV relativeFrom="paragraph">
                  <wp:posOffset>1004924</wp:posOffset>
                </wp:positionV>
                <wp:extent cx="6209665" cy="1404620"/>
                <wp:effectExtent l="0" t="0" r="19685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C1D3" w14:textId="77777777" w:rsidR="00FE34A3" w:rsidRPr="00AD389E" w:rsidRDefault="00FE34A3" w:rsidP="00FE34A3">
                            <w:pPr>
                              <w:pStyle w:val="Titre1"/>
                            </w:pPr>
                            <w:bookmarkStart w:id="0" w:name="_Toc13819793"/>
                            <w:bookmarkStart w:id="1" w:name="_Toc13823195"/>
                            <w:bookmarkStart w:id="2" w:name="_Toc14963757"/>
                            <w:bookmarkStart w:id="3" w:name="_Toc14966154"/>
                            <w:bookmarkStart w:id="4" w:name="_Toc14966204"/>
                            <w:bookmarkStart w:id="5" w:name="_Toc15075293"/>
                            <w:bookmarkStart w:id="6" w:name="_Toc16780059"/>
                            <w:r w:rsidRPr="00AD389E">
                              <w:t>Avis de détermination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p w14:paraId="5A11A3E0" w14:textId="27D4BDF2" w:rsidR="007562F5" w:rsidRPr="00EB7357" w:rsidRDefault="00FE34A3" w:rsidP="007562F5">
                            <w:pPr>
                              <w:rPr>
                                <w:lang w:val="fr-CA"/>
                              </w:rPr>
                            </w:pPr>
                            <w:r w:rsidRPr="00132F54">
                              <w:rPr>
                                <w:b/>
                                <w:lang w:val="fr-CA"/>
                              </w:rPr>
                              <w:t xml:space="preserve">Ottawa – </w:t>
                            </w:r>
                            <w:r w:rsidR="00AA0826">
                              <w:rPr>
                                <w:b/>
                                <w:lang w:val="fr-CA"/>
                              </w:rPr>
                              <w:t>03 octobre 2023</w:t>
                            </w:r>
                            <w:r w:rsidRPr="00132F54">
                              <w:rPr>
                                <w:b/>
                                <w:lang w:val="fr-CA"/>
                              </w:rPr>
                              <w:t xml:space="preserve"> – </w:t>
                            </w:r>
                            <w:r w:rsidRPr="00132F54">
                              <w:rPr>
                                <w:lang w:val="fr-CA"/>
                              </w:rPr>
                              <w:t>Affaires mondiales Canada a déterminé que le projet</w:t>
                            </w:r>
                            <w:r w:rsidR="00AA0826">
                              <w:rPr>
                                <w:lang w:val="fr-CA"/>
                              </w:rPr>
                              <w:t xml:space="preserve"> de c</w:t>
                            </w:r>
                            <w:r w:rsidR="00AA0826" w:rsidRPr="00AA0826">
                              <w:rPr>
                                <w:lang w:val="fr-CA"/>
                              </w:rPr>
                              <w:t xml:space="preserve">onstruction de 15 incinérateurs dans les districts sanitaires de </w:t>
                            </w:r>
                            <w:proofErr w:type="spellStart"/>
                            <w:r w:rsidR="00AA0826" w:rsidRPr="00AA0826">
                              <w:rPr>
                                <w:lang w:val="fr-CA"/>
                              </w:rPr>
                              <w:t>Sagabari</w:t>
                            </w:r>
                            <w:proofErr w:type="spellEnd"/>
                            <w:r w:rsidR="00AA0826" w:rsidRPr="00AA0826">
                              <w:rPr>
                                <w:lang w:val="fr-CA"/>
                              </w:rPr>
                              <w:t xml:space="preserve">, </w:t>
                            </w:r>
                            <w:proofErr w:type="spellStart"/>
                            <w:r w:rsidR="00AA0826" w:rsidRPr="00AA0826">
                              <w:rPr>
                                <w:lang w:val="fr-CA"/>
                              </w:rPr>
                              <w:t>Sefeto</w:t>
                            </w:r>
                            <w:proofErr w:type="spellEnd"/>
                            <w:r w:rsidR="00AA0826" w:rsidRPr="00AA0826">
                              <w:rPr>
                                <w:lang w:val="fr-CA"/>
                              </w:rPr>
                              <w:t xml:space="preserve">, </w:t>
                            </w:r>
                            <w:proofErr w:type="spellStart"/>
                            <w:r w:rsidR="00AA0826" w:rsidRPr="00AA0826">
                              <w:rPr>
                                <w:lang w:val="fr-CA"/>
                              </w:rPr>
                              <w:t>Diema</w:t>
                            </w:r>
                            <w:proofErr w:type="spellEnd"/>
                            <w:r w:rsidR="00AA0826" w:rsidRPr="00AA0826">
                              <w:rPr>
                                <w:lang w:val="fr-CA"/>
                              </w:rPr>
                              <w:t xml:space="preserve"> et </w:t>
                            </w:r>
                            <w:proofErr w:type="spellStart"/>
                            <w:r w:rsidR="00AA0826" w:rsidRPr="00AA0826">
                              <w:rPr>
                                <w:lang w:val="fr-CA"/>
                              </w:rPr>
                              <w:t>Yelimane</w:t>
                            </w:r>
                            <w:proofErr w:type="spellEnd"/>
                            <w:r w:rsidR="00AA0826" w:rsidRPr="00AA0826">
                              <w:rPr>
                                <w:lang w:val="fr-CA"/>
                              </w:rPr>
                              <w:t xml:space="preserve"> dans la région de Kayes</w:t>
                            </w:r>
                            <w:r w:rsidR="007562F5" w:rsidRPr="00EB7357">
                              <w:rPr>
                                <w:lang w:val="fr-CA"/>
                              </w:rPr>
                              <w:t>, au Mali n’est pas susceptible de causer des effets négatifs importants sur l’environnement.</w:t>
                            </w:r>
                          </w:p>
                          <w:p w14:paraId="71C8BBB0" w14:textId="77777777" w:rsidR="00FE34A3" w:rsidRPr="00EB7357" w:rsidRDefault="00FE34A3" w:rsidP="00FE34A3">
                            <w:pPr>
                              <w:rPr>
                                <w:lang w:val="fr-CA"/>
                              </w:rPr>
                            </w:pPr>
                            <w:r w:rsidRPr="00EB7357">
                              <w:rPr>
                                <w:lang w:val="fr-CA"/>
                              </w:rPr>
                              <w:t xml:space="preserve">Cette détermination reposait sur les facteurs suivants : </w:t>
                            </w:r>
                          </w:p>
                          <w:p w14:paraId="3CD53DAF" w14:textId="77777777" w:rsidR="00FE34A3" w:rsidRPr="00E60299" w:rsidRDefault="00FE34A3" w:rsidP="00FE34A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lang w:val="fr-CA"/>
                              </w:rPr>
                            </w:pPr>
                            <w:r w:rsidRPr="00E60299">
                              <w:rPr>
                                <w:lang w:val="fr-CA"/>
                              </w:rPr>
                              <w:t>Mesures d’atténuation réalisables sur les plans technique et économique.</w:t>
                            </w:r>
                          </w:p>
                          <w:p w14:paraId="5BAC2808" w14:textId="77777777" w:rsidR="00FE34A3" w:rsidRPr="00E60299" w:rsidRDefault="00FE34A3" w:rsidP="00FE34A3">
                            <w:pPr>
                              <w:rPr>
                                <w:lang w:val="fr-CA"/>
                              </w:rPr>
                            </w:pPr>
                            <w:r w:rsidRPr="00E60299">
                              <w:rPr>
                                <w:lang w:val="fr-CA"/>
                              </w:rPr>
                              <w:t>Les mesures d'atténuation prises en compte pour cette détermination sont les suivantes :</w:t>
                            </w:r>
                          </w:p>
                          <w:p w14:paraId="27D47A09" w14:textId="2C129CA9" w:rsidR="00AA0826" w:rsidRPr="00E60299" w:rsidRDefault="00AA0826" w:rsidP="00AA082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</w:tabs>
                              <w:spacing w:after="160" w:line="256" w:lineRule="auto"/>
                              <w:rPr>
                                <w:rFonts w:cstheme="minorHAnsi"/>
                                <w:lang w:val="fr-CA"/>
                              </w:rPr>
                            </w:pPr>
                            <w:r w:rsidRPr="00E60299">
                              <w:rPr>
                                <w:rFonts w:cstheme="minorHAnsi"/>
                                <w:lang w:val="fr-CA"/>
                              </w:rPr>
                              <w:t>Application stricte des normes du CICR et de l’OMS relatives à la gestion des déchets biomédicaux</w:t>
                            </w:r>
                            <w:r w:rsidR="00E60299">
                              <w:rPr>
                                <w:rFonts w:cstheme="minorHAnsi"/>
                                <w:lang w:val="fr-CA"/>
                              </w:rPr>
                              <w:t>.</w:t>
                            </w:r>
                          </w:p>
                          <w:p w14:paraId="31C31699" w14:textId="0B710052" w:rsidR="00AA0826" w:rsidRPr="00E60299" w:rsidRDefault="00AA0826" w:rsidP="00AA082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</w:tabs>
                              <w:spacing w:after="160" w:line="256" w:lineRule="auto"/>
                              <w:rPr>
                                <w:rFonts w:cstheme="minorHAnsi"/>
                                <w:lang w:val="fr-CA"/>
                              </w:rPr>
                            </w:pPr>
                            <w:r w:rsidRPr="00E60299">
                              <w:rPr>
                                <w:rFonts w:cstheme="minorHAnsi"/>
                                <w:lang w:val="fr-CA"/>
                              </w:rPr>
                              <w:t>Renforcer les capacités du personnel de santé, d’hygiène et des manœuvres affectés au</w:t>
                            </w:r>
                            <w:r w:rsidR="00E60299">
                              <w:rPr>
                                <w:rFonts w:cstheme="minorHAnsi"/>
                                <w:lang w:val="fr-CA"/>
                              </w:rPr>
                              <w:t xml:space="preserve"> </w:t>
                            </w:r>
                            <w:r w:rsidRPr="00E60299">
                              <w:rPr>
                                <w:rFonts w:cstheme="minorHAnsi"/>
                                <w:lang w:val="fr-CA"/>
                              </w:rPr>
                              <w:t>nettoyage, à la collecte et à l’évacuation des déchets sur l’utilisation, le fonctionnement, la gestion efficace des déchets biomédicaux, la gestion des incinérateurs et l’entretien correcte des installations sanitaires</w:t>
                            </w:r>
                            <w:r w:rsidR="00E60299">
                              <w:rPr>
                                <w:rFonts w:cstheme="minorHAnsi"/>
                                <w:lang w:val="fr-CA"/>
                              </w:rPr>
                              <w:t>.</w:t>
                            </w:r>
                          </w:p>
                          <w:p w14:paraId="0020876F" w14:textId="1004A0F0" w:rsidR="00AA0826" w:rsidRPr="00E60299" w:rsidRDefault="00AA0826" w:rsidP="005B66E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</w:tabs>
                              <w:spacing w:after="160" w:line="256" w:lineRule="auto"/>
                              <w:rPr>
                                <w:rFonts w:cstheme="minorHAnsi"/>
                                <w:lang w:val="fr-CA"/>
                              </w:rPr>
                            </w:pPr>
                            <w:r w:rsidRPr="00E60299">
                              <w:rPr>
                                <w:rFonts w:cstheme="minorHAnsi"/>
                                <w:lang w:val="fr-CA"/>
                              </w:rPr>
                              <w:t xml:space="preserve">S’assurer d’avoir un mécanisme de contrôle de la température de préchauffage et d’incinération (850 °C/1100 °C) pour obtenir une émission d’équivalents toxiques inférieurs à 0,1ng (TEQ7) /m³ de dioxines et furanes </w:t>
                            </w:r>
                            <w:r w:rsidR="004214CE">
                              <w:rPr>
                                <w:rFonts w:cstheme="minorHAnsi"/>
                                <w:lang w:val="fr-CA"/>
                              </w:rPr>
                              <w:t>c</w:t>
                            </w:r>
                            <w:r w:rsidRPr="00E60299">
                              <w:rPr>
                                <w:rFonts w:cstheme="minorHAnsi"/>
                                <w:lang w:val="fr-CA"/>
                              </w:rPr>
                              <w:t>onformément à la Convention de Stockholm (Normes OMS)</w:t>
                            </w:r>
                            <w:r w:rsidR="00E60299" w:rsidRPr="00E60299">
                              <w:rPr>
                                <w:rFonts w:cstheme="minorHAnsi"/>
                                <w:lang w:val="fr-CA"/>
                              </w:rPr>
                              <w:t>.</w:t>
                            </w:r>
                          </w:p>
                          <w:p w14:paraId="33DBEE6C" w14:textId="47E35640" w:rsidR="00FE34A3" w:rsidRPr="00E60299" w:rsidRDefault="00FE34A3" w:rsidP="00FE34A3">
                            <w:pPr>
                              <w:rPr>
                                <w:lang w:val="fr-CA"/>
                              </w:rPr>
                            </w:pPr>
                            <w:r w:rsidRPr="00E60299">
                              <w:rPr>
                                <w:lang w:val="fr-CA"/>
                              </w:rPr>
                              <w:t xml:space="preserve">Affaires mondiales Canada est convaincu que le projet </w:t>
                            </w:r>
                            <w:r w:rsidR="00FD3A00">
                              <w:rPr>
                                <w:lang w:val="fr-CA"/>
                              </w:rPr>
                              <w:t xml:space="preserve">n’est pas </w:t>
                            </w:r>
                            <w:r w:rsidRPr="00E60299">
                              <w:rPr>
                                <w:lang w:val="fr-CA"/>
                              </w:rPr>
                              <w:t>susceptible d</w:t>
                            </w:r>
                            <w:r w:rsidR="00FD3A00">
                              <w:rPr>
                                <w:lang w:val="fr-CA"/>
                              </w:rPr>
                              <w:t xml:space="preserve">’avoir des impacts </w:t>
                            </w:r>
                            <w:r w:rsidRPr="00E60299">
                              <w:rPr>
                                <w:lang w:val="fr-CA"/>
                              </w:rPr>
                              <w:t>négatifs</w:t>
                            </w:r>
                            <w:r w:rsidR="00FD3A00">
                              <w:rPr>
                                <w:lang w:val="fr-CA"/>
                              </w:rPr>
                              <w:t xml:space="preserve"> significatifs </w:t>
                            </w:r>
                            <w:r w:rsidRPr="00E60299">
                              <w:rPr>
                                <w:lang w:val="fr-CA"/>
                              </w:rPr>
                              <w:t xml:space="preserve">sur l’environnement. </w:t>
                            </w:r>
                          </w:p>
                          <w:p w14:paraId="17567EA0" w14:textId="77777777" w:rsidR="00FE34A3" w:rsidRPr="00E60299" w:rsidRDefault="00FE34A3" w:rsidP="00FE34A3">
                            <w:pPr>
                              <w:rPr>
                                <w:lang w:val="fr-CA"/>
                              </w:rPr>
                            </w:pPr>
                            <w:r w:rsidRPr="00E60299">
                              <w:rPr>
                                <w:lang w:val="fr-CA"/>
                              </w:rPr>
                              <w:t>Par conséquent Affaires mondiales Canada peut exercer ses attributions ou fournir une aide financière pour permettre au projet d’être réalisé, en tout ou en partie.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F1A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85pt;margin-top:79.15pt;width:488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" filled="f">
                <v:textbox style="mso-fit-shape-to-text:t">
                  <w:txbxContent>
                    <w:p w14:paraId="784DC1D3" w14:textId="77777777" w:rsidR="00FE34A3" w:rsidRPr="00AD389E" w:rsidRDefault="00FE34A3" w:rsidP="00FE34A3">
                      <w:pPr>
                        <w:pStyle w:val="Titre1"/>
                      </w:pPr>
                      <w:bookmarkStart w:id="7" w:name="_Toc13819793"/>
                      <w:bookmarkStart w:id="8" w:name="_Toc13823195"/>
                      <w:bookmarkStart w:id="9" w:name="_Toc14963757"/>
                      <w:bookmarkStart w:id="10" w:name="_Toc14966154"/>
                      <w:bookmarkStart w:id="11" w:name="_Toc14966204"/>
                      <w:bookmarkStart w:id="12" w:name="_Toc15075293"/>
                      <w:bookmarkStart w:id="13" w:name="_Toc16780059"/>
                      <w:r w:rsidRPr="00AD389E">
                        <w:t>Avis de détermination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  <w:p w14:paraId="5A11A3E0" w14:textId="27D4BDF2" w:rsidR="007562F5" w:rsidRPr="00EB7357" w:rsidRDefault="00FE34A3" w:rsidP="007562F5">
                      <w:pPr>
                        <w:rPr>
                          <w:lang w:val="fr-CA"/>
                        </w:rPr>
                      </w:pPr>
                      <w:r w:rsidRPr="00132F54">
                        <w:rPr>
                          <w:b/>
                          <w:lang w:val="fr-CA"/>
                        </w:rPr>
                        <w:t xml:space="preserve">Ottawa – </w:t>
                      </w:r>
                      <w:r w:rsidR="00AA0826">
                        <w:rPr>
                          <w:b/>
                          <w:lang w:val="fr-CA"/>
                        </w:rPr>
                        <w:t>03 octobre 2023</w:t>
                      </w:r>
                      <w:r w:rsidRPr="00132F54">
                        <w:rPr>
                          <w:b/>
                          <w:lang w:val="fr-CA"/>
                        </w:rPr>
                        <w:t xml:space="preserve"> – </w:t>
                      </w:r>
                      <w:r w:rsidRPr="00132F54">
                        <w:rPr>
                          <w:lang w:val="fr-CA"/>
                        </w:rPr>
                        <w:t>Affaires mondiales Canada a déterminé que le projet</w:t>
                      </w:r>
                      <w:r w:rsidR="00AA0826">
                        <w:rPr>
                          <w:lang w:val="fr-CA"/>
                        </w:rPr>
                        <w:t xml:space="preserve"> de c</w:t>
                      </w:r>
                      <w:r w:rsidR="00AA0826" w:rsidRPr="00AA0826">
                        <w:rPr>
                          <w:lang w:val="fr-CA"/>
                        </w:rPr>
                        <w:t xml:space="preserve">onstruction de 15 incinérateurs dans les districts sanitaires de </w:t>
                      </w:r>
                      <w:proofErr w:type="spellStart"/>
                      <w:r w:rsidR="00AA0826" w:rsidRPr="00AA0826">
                        <w:rPr>
                          <w:lang w:val="fr-CA"/>
                        </w:rPr>
                        <w:t>Sagabari</w:t>
                      </w:r>
                      <w:proofErr w:type="spellEnd"/>
                      <w:r w:rsidR="00AA0826" w:rsidRPr="00AA0826">
                        <w:rPr>
                          <w:lang w:val="fr-CA"/>
                        </w:rPr>
                        <w:t xml:space="preserve">, </w:t>
                      </w:r>
                      <w:proofErr w:type="spellStart"/>
                      <w:r w:rsidR="00AA0826" w:rsidRPr="00AA0826">
                        <w:rPr>
                          <w:lang w:val="fr-CA"/>
                        </w:rPr>
                        <w:t>Sefeto</w:t>
                      </w:r>
                      <w:proofErr w:type="spellEnd"/>
                      <w:r w:rsidR="00AA0826" w:rsidRPr="00AA0826">
                        <w:rPr>
                          <w:lang w:val="fr-CA"/>
                        </w:rPr>
                        <w:t xml:space="preserve">, </w:t>
                      </w:r>
                      <w:proofErr w:type="spellStart"/>
                      <w:r w:rsidR="00AA0826" w:rsidRPr="00AA0826">
                        <w:rPr>
                          <w:lang w:val="fr-CA"/>
                        </w:rPr>
                        <w:t>Diema</w:t>
                      </w:r>
                      <w:proofErr w:type="spellEnd"/>
                      <w:r w:rsidR="00AA0826" w:rsidRPr="00AA0826">
                        <w:rPr>
                          <w:lang w:val="fr-CA"/>
                        </w:rPr>
                        <w:t xml:space="preserve"> et </w:t>
                      </w:r>
                      <w:proofErr w:type="spellStart"/>
                      <w:r w:rsidR="00AA0826" w:rsidRPr="00AA0826">
                        <w:rPr>
                          <w:lang w:val="fr-CA"/>
                        </w:rPr>
                        <w:t>Yelimane</w:t>
                      </w:r>
                      <w:proofErr w:type="spellEnd"/>
                      <w:r w:rsidR="00AA0826" w:rsidRPr="00AA0826">
                        <w:rPr>
                          <w:lang w:val="fr-CA"/>
                        </w:rPr>
                        <w:t xml:space="preserve"> dans la région de Kayes</w:t>
                      </w:r>
                      <w:r w:rsidR="007562F5" w:rsidRPr="00EB7357">
                        <w:rPr>
                          <w:lang w:val="fr-CA"/>
                        </w:rPr>
                        <w:t>, au Mali n’est pas susceptible de causer des effets négatifs importants sur l’environnement.</w:t>
                      </w:r>
                    </w:p>
                    <w:p w14:paraId="71C8BBB0" w14:textId="77777777" w:rsidR="00FE34A3" w:rsidRPr="00EB7357" w:rsidRDefault="00FE34A3" w:rsidP="00FE34A3">
                      <w:pPr>
                        <w:rPr>
                          <w:lang w:val="fr-CA"/>
                        </w:rPr>
                      </w:pPr>
                      <w:r w:rsidRPr="00EB7357">
                        <w:rPr>
                          <w:lang w:val="fr-CA"/>
                        </w:rPr>
                        <w:t xml:space="preserve">Cette détermination reposait sur les facteurs suivants : </w:t>
                      </w:r>
                    </w:p>
                    <w:p w14:paraId="3CD53DAF" w14:textId="77777777" w:rsidR="00FE34A3" w:rsidRPr="00E60299" w:rsidRDefault="00FE34A3" w:rsidP="00FE34A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lang w:val="fr-CA"/>
                        </w:rPr>
                      </w:pPr>
                      <w:r w:rsidRPr="00E60299">
                        <w:rPr>
                          <w:lang w:val="fr-CA"/>
                        </w:rPr>
                        <w:t>Mesures d’atténuation réalisables sur les plans technique et économique.</w:t>
                      </w:r>
                    </w:p>
                    <w:p w14:paraId="5BAC2808" w14:textId="77777777" w:rsidR="00FE34A3" w:rsidRPr="00E60299" w:rsidRDefault="00FE34A3" w:rsidP="00FE34A3">
                      <w:pPr>
                        <w:rPr>
                          <w:lang w:val="fr-CA"/>
                        </w:rPr>
                      </w:pPr>
                      <w:r w:rsidRPr="00E60299">
                        <w:rPr>
                          <w:lang w:val="fr-CA"/>
                        </w:rPr>
                        <w:t>Les mesures d'atténuation prises en compte pour cette détermination sont les suivantes :</w:t>
                      </w:r>
                    </w:p>
                    <w:p w14:paraId="27D47A09" w14:textId="2C129CA9" w:rsidR="00AA0826" w:rsidRPr="00E60299" w:rsidRDefault="00AA0826" w:rsidP="00AA082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</w:tabs>
                        <w:spacing w:after="160" w:line="256" w:lineRule="auto"/>
                        <w:rPr>
                          <w:rFonts w:cstheme="minorHAnsi"/>
                          <w:lang w:val="fr-CA"/>
                        </w:rPr>
                      </w:pPr>
                      <w:r w:rsidRPr="00E60299">
                        <w:rPr>
                          <w:rFonts w:cstheme="minorHAnsi"/>
                          <w:lang w:val="fr-CA"/>
                        </w:rPr>
                        <w:t>Application stricte des normes du CICR et de l’OMS relatives à la gestion des déchets biomédicaux</w:t>
                      </w:r>
                      <w:r w:rsidR="00E60299">
                        <w:rPr>
                          <w:rFonts w:cstheme="minorHAnsi"/>
                          <w:lang w:val="fr-CA"/>
                        </w:rPr>
                        <w:t>.</w:t>
                      </w:r>
                    </w:p>
                    <w:p w14:paraId="31C31699" w14:textId="0B710052" w:rsidR="00AA0826" w:rsidRPr="00E60299" w:rsidRDefault="00AA0826" w:rsidP="00AA082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</w:tabs>
                        <w:spacing w:after="160" w:line="256" w:lineRule="auto"/>
                        <w:rPr>
                          <w:rFonts w:cstheme="minorHAnsi"/>
                          <w:lang w:val="fr-CA"/>
                        </w:rPr>
                      </w:pPr>
                      <w:r w:rsidRPr="00E60299">
                        <w:rPr>
                          <w:rFonts w:cstheme="minorHAnsi"/>
                          <w:lang w:val="fr-CA"/>
                        </w:rPr>
                        <w:t>Renforcer les capacités du personnel de santé, d’hygiène et des manœuvres affectés au</w:t>
                      </w:r>
                      <w:r w:rsidR="00E60299">
                        <w:rPr>
                          <w:rFonts w:cstheme="minorHAnsi"/>
                          <w:lang w:val="fr-CA"/>
                        </w:rPr>
                        <w:t xml:space="preserve"> </w:t>
                      </w:r>
                      <w:r w:rsidRPr="00E60299">
                        <w:rPr>
                          <w:rFonts w:cstheme="minorHAnsi"/>
                          <w:lang w:val="fr-CA"/>
                        </w:rPr>
                        <w:t>nettoyage, à la collecte et à l’évacuation des déchets sur l’utilisation, le fonctionnement, la gestion efficace des déchets biomédicaux, la gestion des incinérateurs et l’entretien correcte des installations sanitaires</w:t>
                      </w:r>
                      <w:r w:rsidR="00E60299">
                        <w:rPr>
                          <w:rFonts w:cstheme="minorHAnsi"/>
                          <w:lang w:val="fr-CA"/>
                        </w:rPr>
                        <w:t>.</w:t>
                      </w:r>
                    </w:p>
                    <w:p w14:paraId="0020876F" w14:textId="1004A0F0" w:rsidR="00AA0826" w:rsidRPr="00E60299" w:rsidRDefault="00AA0826" w:rsidP="005B66E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</w:tabs>
                        <w:spacing w:after="160" w:line="256" w:lineRule="auto"/>
                        <w:rPr>
                          <w:rFonts w:cstheme="minorHAnsi"/>
                          <w:lang w:val="fr-CA"/>
                        </w:rPr>
                      </w:pPr>
                      <w:r w:rsidRPr="00E60299">
                        <w:rPr>
                          <w:rFonts w:cstheme="minorHAnsi"/>
                          <w:lang w:val="fr-CA"/>
                        </w:rPr>
                        <w:t xml:space="preserve">S’assurer d’avoir un mécanisme de contrôle de la température de préchauffage et d’incinération (850 °C/1100 °C) pour obtenir une émission d’équivalents toxiques inférieurs à 0,1ng (TEQ7) /m³ de dioxines et furanes </w:t>
                      </w:r>
                      <w:r w:rsidR="004214CE">
                        <w:rPr>
                          <w:rFonts w:cstheme="minorHAnsi"/>
                          <w:lang w:val="fr-CA"/>
                        </w:rPr>
                        <w:t>c</w:t>
                      </w:r>
                      <w:r w:rsidRPr="00E60299">
                        <w:rPr>
                          <w:rFonts w:cstheme="minorHAnsi"/>
                          <w:lang w:val="fr-CA"/>
                        </w:rPr>
                        <w:t>onformément à la Convention de Stockholm (Normes OMS)</w:t>
                      </w:r>
                      <w:r w:rsidR="00E60299" w:rsidRPr="00E60299">
                        <w:rPr>
                          <w:rFonts w:cstheme="minorHAnsi"/>
                          <w:lang w:val="fr-CA"/>
                        </w:rPr>
                        <w:t>.</w:t>
                      </w:r>
                    </w:p>
                    <w:p w14:paraId="33DBEE6C" w14:textId="47E35640" w:rsidR="00FE34A3" w:rsidRPr="00E60299" w:rsidRDefault="00FE34A3" w:rsidP="00FE34A3">
                      <w:pPr>
                        <w:rPr>
                          <w:lang w:val="fr-CA"/>
                        </w:rPr>
                      </w:pPr>
                      <w:r w:rsidRPr="00E60299">
                        <w:rPr>
                          <w:lang w:val="fr-CA"/>
                        </w:rPr>
                        <w:t xml:space="preserve">Affaires mondiales Canada est convaincu que le projet </w:t>
                      </w:r>
                      <w:r w:rsidR="00FD3A00">
                        <w:rPr>
                          <w:lang w:val="fr-CA"/>
                        </w:rPr>
                        <w:t xml:space="preserve">n’est pas </w:t>
                      </w:r>
                      <w:r w:rsidRPr="00E60299">
                        <w:rPr>
                          <w:lang w:val="fr-CA"/>
                        </w:rPr>
                        <w:t>susceptible d</w:t>
                      </w:r>
                      <w:r w:rsidR="00FD3A00">
                        <w:rPr>
                          <w:lang w:val="fr-CA"/>
                        </w:rPr>
                        <w:t xml:space="preserve">’avoir des impacts </w:t>
                      </w:r>
                      <w:r w:rsidRPr="00E60299">
                        <w:rPr>
                          <w:lang w:val="fr-CA"/>
                        </w:rPr>
                        <w:t>négatifs</w:t>
                      </w:r>
                      <w:r w:rsidR="00FD3A00">
                        <w:rPr>
                          <w:lang w:val="fr-CA"/>
                        </w:rPr>
                        <w:t xml:space="preserve"> significatifs </w:t>
                      </w:r>
                      <w:r w:rsidRPr="00E60299">
                        <w:rPr>
                          <w:lang w:val="fr-CA"/>
                        </w:rPr>
                        <w:t xml:space="preserve">sur l’environnement. </w:t>
                      </w:r>
                    </w:p>
                    <w:p w14:paraId="17567EA0" w14:textId="77777777" w:rsidR="00FE34A3" w:rsidRPr="00E60299" w:rsidRDefault="00FE34A3" w:rsidP="00FE34A3">
                      <w:pPr>
                        <w:rPr>
                          <w:lang w:val="fr-CA"/>
                        </w:rPr>
                      </w:pPr>
                      <w:r w:rsidRPr="00E60299">
                        <w:rPr>
                          <w:lang w:val="fr-CA"/>
                        </w:rPr>
                        <w:t>Par conséquent Affaires mondiales Canada peut exercer ses attributions ou fournir une aide financière pour permettre au projet d’être réalisé, en tout ou en partie.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0826">
        <w:rPr>
          <w:b/>
          <w:lang w:val="fr-CA"/>
        </w:rPr>
        <w:t>03 octobre 2023</w:t>
      </w:r>
      <w:r w:rsidR="007562F5" w:rsidRPr="00132F54">
        <w:rPr>
          <w:b/>
          <w:lang w:val="fr-CA"/>
        </w:rPr>
        <w:t xml:space="preserve"> </w:t>
      </w:r>
      <w:r w:rsidR="007562F5" w:rsidRPr="00132F54">
        <w:rPr>
          <w:lang w:val="fr-CA"/>
        </w:rPr>
        <w:t>–</w:t>
      </w:r>
      <w:r w:rsidR="00FF1A44" w:rsidRPr="00132F54">
        <w:rPr>
          <w:lang w:val="fr-CA"/>
        </w:rPr>
        <w:t>Affaires mondiales Canada a publié son avis de détermination et a déterminé</w:t>
      </w:r>
      <w:r w:rsidR="007562F5" w:rsidRPr="00132F54">
        <w:rPr>
          <w:lang w:val="fr-CA"/>
        </w:rPr>
        <w:t xml:space="preserve"> que le projet de </w:t>
      </w:r>
      <w:bookmarkStart w:id="14" w:name="_Toc13819790"/>
      <w:bookmarkStart w:id="15" w:name="_Toc13823192"/>
      <w:bookmarkStart w:id="16" w:name="_Toc14963753"/>
      <w:bookmarkStart w:id="17" w:name="_Toc14966151"/>
      <w:bookmarkStart w:id="18" w:name="_Toc14966200"/>
      <w:bookmarkStart w:id="19" w:name="_Toc15075290"/>
      <w:bookmarkStart w:id="20" w:name="_Toc16780056"/>
      <w:r w:rsidR="00AA0826">
        <w:rPr>
          <w:lang w:val="fr-CA"/>
        </w:rPr>
        <w:t>c</w:t>
      </w:r>
      <w:r w:rsidR="00AA0826" w:rsidRPr="00AA0826">
        <w:rPr>
          <w:lang w:val="fr-CA"/>
        </w:rPr>
        <w:t xml:space="preserve">onstruction </w:t>
      </w:r>
      <w:bookmarkEnd w:id="14"/>
      <w:bookmarkEnd w:id="15"/>
      <w:bookmarkEnd w:id="16"/>
      <w:bookmarkEnd w:id="17"/>
      <w:bookmarkEnd w:id="18"/>
      <w:bookmarkEnd w:id="19"/>
      <w:bookmarkEnd w:id="20"/>
      <w:r w:rsidR="00AA0826" w:rsidRPr="00AA0826">
        <w:rPr>
          <w:lang w:val="fr-CA"/>
        </w:rPr>
        <w:t xml:space="preserve">de 15 incinérateurs dans les districts sanitaires de </w:t>
      </w:r>
      <w:proofErr w:type="spellStart"/>
      <w:r w:rsidR="00AA0826" w:rsidRPr="00AA0826">
        <w:rPr>
          <w:lang w:val="fr-CA"/>
        </w:rPr>
        <w:t>Sagabari</w:t>
      </w:r>
      <w:proofErr w:type="spellEnd"/>
      <w:r w:rsidR="00AA0826" w:rsidRPr="00AA0826">
        <w:rPr>
          <w:lang w:val="fr-CA"/>
        </w:rPr>
        <w:t xml:space="preserve">, </w:t>
      </w:r>
      <w:proofErr w:type="spellStart"/>
      <w:r w:rsidR="00AA0826" w:rsidRPr="00AA0826">
        <w:rPr>
          <w:lang w:val="fr-CA"/>
        </w:rPr>
        <w:t>Sefeto</w:t>
      </w:r>
      <w:proofErr w:type="spellEnd"/>
      <w:r w:rsidR="00AA0826" w:rsidRPr="00AA0826">
        <w:rPr>
          <w:lang w:val="fr-CA"/>
        </w:rPr>
        <w:t xml:space="preserve">, </w:t>
      </w:r>
      <w:proofErr w:type="spellStart"/>
      <w:r w:rsidR="00AA0826" w:rsidRPr="00AA0826">
        <w:rPr>
          <w:lang w:val="fr-CA"/>
        </w:rPr>
        <w:t>Diema</w:t>
      </w:r>
      <w:proofErr w:type="spellEnd"/>
      <w:r w:rsidR="00AA0826" w:rsidRPr="00AA0826">
        <w:rPr>
          <w:lang w:val="fr-CA"/>
        </w:rPr>
        <w:t xml:space="preserve"> et </w:t>
      </w:r>
      <w:proofErr w:type="spellStart"/>
      <w:r w:rsidR="00AA0826" w:rsidRPr="00AA0826">
        <w:rPr>
          <w:lang w:val="fr-CA"/>
        </w:rPr>
        <w:t>Yelimane</w:t>
      </w:r>
      <w:proofErr w:type="spellEnd"/>
      <w:r w:rsidR="00AA0826" w:rsidRPr="00AA0826">
        <w:rPr>
          <w:lang w:val="fr-CA"/>
        </w:rPr>
        <w:t xml:space="preserve"> dans la région de Kayes</w:t>
      </w:r>
      <w:r w:rsidR="007562F5" w:rsidRPr="00132F54">
        <w:rPr>
          <w:lang w:val="fr-CA"/>
        </w:rPr>
        <w:t xml:space="preserve">, au Mali </w:t>
      </w:r>
      <w:r w:rsidR="00FF1A44" w:rsidRPr="00132F54">
        <w:rPr>
          <w:lang w:val="fr-CA"/>
        </w:rPr>
        <w:t>n’est pas susceptible de causer des effets négatifs</w:t>
      </w:r>
      <w:r w:rsidR="007562F5" w:rsidRPr="00132F54">
        <w:rPr>
          <w:lang w:val="fr-CA"/>
        </w:rPr>
        <w:t xml:space="preserve"> importants sur l’environnement.</w:t>
      </w:r>
    </w:p>
    <w:p w14:paraId="3CE4ADF0" w14:textId="70213E2D" w:rsidR="00FF1A44" w:rsidRPr="00FF1A44" w:rsidRDefault="00FF1A44">
      <w:pPr>
        <w:rPr>
          <w:lang w:val="fr-CA"/>
        </w:rPr>
      </w:pPr>
    </w:p>
    <w:sectPr w:rsidR="00FF1A44" w:rsidRPr="00FF1A44" w:rsidSect="000C135B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2416"/>
    <w:multiLevelType w:val="hybridMultilevel"/>
    <w:tmpl w:val="17124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AB2"/>
    <w:multiLevelType w:val="hybridMultilevel"/>
    <w:tmpl w:val="9C9CB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A2801"/>
    <w:multiLevelType w:val="hybridMultilevel"/>
    <w:tmpl w:val="DE68E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80C0F"/>
    <w:multiLevelType w:val="hybridMultilevel"/>
    <w:tmpl w:val="15025B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57E67"/>
    <w:multiLevelType w:val="hybridMultilevel"/>
    <w:tmpl w:val="2772AE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18624">
    <w:abstractNumId w:val="2"/>
  </w:num>
  <w:num w:numId="2" w16cid:durableId="1320426016">
    <w:abstractNumId w:val="3"/>
  </w:num>
  <w:num w:numId="3" w16cid:durableId="834684977">
    <w:abstractNumId w:val="0"/>
  </w:num>
  <w:num w:numId="4" w16cid:durableId="423112446">
    <w:abstractNumId w:val="1"/>
  </w:num>
  <w:num w:numId="5" w16cid:durableId="1978752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F2"/>
    <w:rsid w:val="00012205"/>
    <w:rsid w:val="000C135B"/>
    <w:rsid w:val="000C55B1"/>
    <w:rsid w:val="00132F54"/>
    <w:rsid w:val="004214CE"/>
    <w:rsid w:val="004669F2"/>
    <w:rsid w:val="005E1FD3"/>
    <w:rsid w:val="00665C10"/>
    <w:rsid w:val="006E4B83"/>
    <w:rsid w:val="007562F5"/>
    <w:rsid w:val="008946E0"/>
    <w:rsid w:val="008E0B92"/>
    <w:rsid w:val="009E37DB"/>
    <w:rsid w:val="00AA0826"/>
    <w:rsid w:val="00CB5DED"/>
    <w:rsid w:val="00D01C02"/>
    <w:rsid w:val="00E60299"/>
    <w:rsid w:val="00EB7357"/>
    <w:rsid w:val="00FB1055"/>
    <w:rsid w:val="00FD3A00"/>
    <w:rsid w:val="00FE34A3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85DF"/>
  <w15:docId w15:val="{3A88C147-3372-4659-8279-57D7E0F6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1A44"/>
    <w:rPr>
      <w:rFonts w:ascii="Arial" w:hAnsi="Arial" w:cs="Arial"/>
      <w:lang w:val="en-CA"/>
    </w:rPr>
  </w:style>
  <w:style w:type="paragraph" w:styleId="Titre1">
    <w:name w:val="heading 1"/>
    <w:basedOn w:val="Normal"/>
    <w:next w:val="Normal"/>
    <w:link w:val="Titre1Car"/>
    <w:autoRedefine/>
    <w:uiPriority w:val="9"/>
    <w:rsid w:val="00FE34A3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References,Liste 1,Numbered List Paragraph,ReferencesCxSpLast,List Paragraph (numbered (a)),Paragraphe de liste1,Paragraphe de liste11,WB List Paragraph,Paragraphe  revu,Bullet L1,List Paragraph1,Tableau Adere,partie,Titre 4i"/>
    <w:basedOn w:val="Normal"/>
    <w:link w:val="ParagraphedelisteCar"/>
    <w:uiPriority w:val="34"/>
    <w:qFormat/>
    <w:rsid w:val="00FF1A4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E34A3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customStyle="1" w:styleId="ParagraphedelisteCar">
    <w:name w:val="Paragraphe de liste Car"/>
    <w:aliases w:val="Bullets Car,References Car,Liste 1 Car,Numbered List Paragraph Car,ReferencesCxSpLast Car,List Paragraph (numbered (a)) Car,Paragraphe de liste1 Car,Paragraphe de liste11 Car,WB List Paragraph Car,Paragraphe  revu Car,partie Car"/>
    <w:link w:val="Paragraphedeliste"/>
    <w:uiPriority w:val="34"/>
    <w:qFormat/>
    <w:rsid w:val="00AA0826"/>
    <w:rPr>
      <w:rFonts w:ascii="Arial" w:hAnsi="Arial" w:cs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DFAIT-MAECI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Tremblay, Stephane -MSS</dc:creator>
  <cp:keywords/>
  <dc:description/>
  <cp:lastModifiedBy>Abdoulkader, Khaireh -MSS [He,Him | Il]</cp:lastModifiedBy>
  <cp:revision>5</cp:revision>
  <dcterms:created xsi:type="dcterms:W3CDTF">2023-10-02T14:58:00Z</dcterms:created>
  <dcterms:modified xsi:type="dcterms:W3CDTF">2023-10-03T17:26:00Z</dcterms:modified>
</cp:coreProperties>
</file>