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9B" w:rsidRPr="002A7E9E" w:rsidRDefault="00412C44" w:rsidP="002A7E9E">
      <w:pPr>
        <w:pStyle w:val="Heading1"/>
      </w:pPr>
      <w:bookmarkStart w:id="0" w:name="_GoBack"/>
      <w:r>
        <w:rPr>
          <w:rFonts w:ascii="Calibri Light" w:eastAsia="Calibri Light" w:hAnsi="Calibri Light" w:cs="Times New Roman"/>
          <w:color w:val="2E74B5"/>
          <w:lang w:val="fr-CA"/>
        </w:rPr>
        <w:t>Surface de stockage centralisée</w:t>
      </w:r>
    </w:p>
    <w:bookmarkEnd w:id="0"/>
    <w:p w:rsidR="002A7E9E" w:rsidRDefault="002A7E9E">
      <w:pPr>
        <w:rPr>
          <w:b/>
          <w:sz w:val="24"/>
        </w:rPr>
      </w:pPr>
    </w:p>
    <w:p w:rsidR="0053138E" w:rsidRPr="002A7E9E" w:rsidRDefault="00412C44">
      <w:pPr>
        <w:rPr>
          <w:b/>
          <w:sz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val="fr-CA"/>
        </w:rPr>
        <w:t>Avis de détermination</w:t>
      </w:r>
    </w:p>
    <w:p w:rsidR="002A7E9E" w:rsidRPr="002A7E9E" w:rsidRDefault="00412C44" w:rsidP="002A7E9E">
      <w:pPr>
        <w:rPr>
          <w:color w:val="002060"/>
        </w:rPr>
      </w:pPr>
      <w:r>
        <w:rPr>
          <w:rFonts w:ascii="Calibri" w:eastAsia="Calibri" w:hAnsi="Calibri" w:cs="Times New Roman"/>
          <w:color w:val="002060"/>
          <w:lang w:val="fr-CA"/>
        </w:rPr>
        <w:t xml:space="preserve">Énergie atomique du Canada limitée (EACL) a </w:t>
      </w:r>
      <w:r>
        <w:rPr>
          <w:rFonts w:ascii="Calibri" w:eastAsia="Calibri" w:hAnsi="Calibri" w:cs="Times New Roman"/>
          <w:color w:val="002060"/>
          <w:lang w:val="fr-CA"/>
        </w:rPr>
        <w:t xml:space="preserve">déterminé que la surface de stockage centralisée proposée sur le site de Chalk River d’EACL n’aura probablement pas d’effets néfastes significatifs sur l’environnement. </w:t>
      </w:r>
    </w:p>
    <w:p w:rsidR="002A7E9E" w:rsidRPr="002A7E9E" w:rsidRDefault="00412C44" w:rsidP="002A7E9E">
      <w:pPr>
        <w:rPr>
          <w:color w:val="002060"/>
        </w:rPr>
      </w:pPr>
      <w:r>
        <w:rPr>
          <w:rFonts w:ascii="Calibri" w:eastAsia="Calibri" w:hAnsi="Calibri" w:cs="Times New Roman"/>
          <w:color w:val="002060"/>
          <w:lang w:val="fr-CA"/>
        </w:rPr>
        <w:t>Les effet</w:t>
      </w:r>
      <w:r>
        <w:rPr>
          <w:rFonts w:ascii="Calibri" w:eastAsia="Calibri" w:hAnsi="Calibri" w:cs="Times New Roman"/>
          <w:color w:val="002060"/>
          <w:lang w:val="fr-CA"/>
        </w:rPr>
        <w:t>s environnementaux potentiels seront gérés par des mesures d’atténuation techniquement et économiquement réalisables et mises en œuvre dans les secteurs suivants : l’air, l’eau, le sol et le stockage de matériaux. La surface du projet est sise sur des terr</w:t>
      </w:r>
      <w:r>
        <w:rPr>
          <w:rFonts w:ascii="Calibri" w:eastAsia="Calibri" w:hAnsi="Calibri" w:cs="Times New Roman"/>
          <w:color w:val="002060"/>
          <w:lang w:val="fr-CA"/>
        </w:rPr>
        <w:t>es déjà perturbées; ainsi, aucun défrichement n’est requis, seulement un remblayage mineur à l’appui de l’installation du gravier, du socle de béton et du drainage pour rediriger la précipitation comme il se doit dans ou autour de la surface. En sa qualité</w:t>
      </w:r>
      <w:r>
        <w:rPr>
          <w:rFonts w:ascii="Calibri" w:eastAsia="Calibri" w:hAnsi="Calibri" w:cs="Times New Roman"/>
          <w:color w:val="002060"/>
          <w:lang w:val="fr-CA"/>
        </w:rPr>
        <w:t xml:space="preserve"> d’autorité fédérale, Énergie atomique du Canada autorise les Laboratoires Nucléaires Canadiens à réaliser le projet, à exercer toute compétence, obligation ou fonction ou à fournir une aide financière pour permettre la réalisation totale ou partielle du p</w:t>
      </w:r>
      <w:r>
        <w:rPr>
          <w:rFonts w:ascii="Calibri" w:eastAsia="Calibri" w:hAnsi="Calibri" w:cs="Times New Roman"/>
          <w:color w:val="002060"/>
          <w:lang w:val="fr-CA"/>
        </w:rPr>
        <w:t>rojet.</w:t>
      </w:r>
    </w:p>
    <w:p w:rsidR="002A7E9E" w:rsidRDefault="002A7E9E" w:rsidP="002A7E9E">
      <w:pPr>
        <w:rPr>
          <w:i/>
          <w:color w:val="002060"/>
        </w:rPr>
      </w:pPr>
    </w:p>
    <w:p w:rsidR="00F94866" w:rsidRPr="002A7E9E" w:rsidRDefault="00F94866" w:rsidP="00F94866">
      <w:pPr>
        <w:rPr>
          <w:i/>
          <w:color w:val="002060"/>
        </w:rPr>
      </w:pPr>
    </w:p>
    <w:p w:rsidR="00F94866" w:rsidRDefault="00412C44" w:rsidP="00F94866">
      <w:pPr>
        <w:rPr>
          <w:i/>
          <w:color w:val="2E74B5" w:themeColor="accent1" w:themeShade="BF"/>
        </w:rPr>
      </w:pPr>
      <w:r>
        <w:rPr>
          <w:i/>
          <w:color w:val="2E74B5" w:themeColor="accent1" w:themeShade="BF"/>
        </w:rPr>
        <w:t xml:space="preserve"> </w:t>
      </w:r>
    </w:p>
    <w:p w:rsidR="00F94866" w:rsidRDefault="00F94866"/>
    <w:sectPr w:rsidR="00F948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8E"/>
    <w:rsid w:val="002A7E9E"/>
    <w:rsid w:val="00412C44"/>
    <w:rsid w:val="0053138E"/>
    <w:rsid w:val="00706178"/>
    <w:rsid w:val="00C0129B"/>
    <w:rsid w:val="00F9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D0CB6-71D1-472E-8795-B2E5731F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9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A7E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A7E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Bida, Connor</dc:creator>
  <cp:lastModifiedBy>Betts, Tracy</cp:lastModifiedBy>
  <cp:revision>2</cp:revision>
  <dcterms:created xsi:type="dcterms:W3CDTF">2023-04-20T10:55:00Z</dcterms:created>
  <dcterms:modified xsi:type="dcterms:W3CDTF">2023-04-20T10:55:00Z</dcterms:modified>
</cp:coreProperties>
</file>