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460A1" w:rsidRDefault="004028D8" w:rsidP="0034497E">
      <w:pPr>
        <w:pStyle w:val="Heading1"/>
      </w:pPr>
      <w:r w:rsidRPr="004028D8">
        <w:rPr>
          <w:lang w:bidi="fr-CA"/>
        </w:rPr>
        <w:t>Avis public</w:t>
      </w:r>
    </w:p>
    <w:p w14:paraId="126AE19E" w14:textId="306A3374" w:rsidR="002C54FE" w:rsidRPr="00C6334F" w:rsidRDefault="00E72276" w:rsidP="00022FC8">
      <w:pPr>
        <w:pStyle w:val="Heading1"/>
        <w:rPr>
          <w:rFonts w:asciiTheme="minorHAnsi" w:eastAsiaTheme="minorHAnsi" w:hAnsiTheme="minorHAnsi" w:cstheme="minorHAnsi"/>
          <w:color w:val="auto"/>
          <w:sz w:val="22"/>
          <w:szCs w:val="22"/>
        </w:rPr>
      </w:pPr>
      <w:r w:rsidRPr="00C6334F">
        <w:rPr>
          <w:rFonts w:asciiTheme="minorHAnsi" w:hAnsiTheme="minorHAnsi" w:cstheme="minorHAnsi"/>
          <w:color w:val="auto"/>
          <w:sz w:val="22"/>
          <w:lang w:bidi="fr-CA"/>
        </w:rPr>
        <w:t xml:space="preserve">Phare de l’île Ivory </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 xml:space="preserve"> Nouveau système d</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énergie solaire et éolienne</w:t>
      </w:r>
    </w:p>
    <w:p w14:paraId="335C7BEF" w14:textId="77777777" w:rsidR="007D00B7" w:rsidRPr="009460A1" w:rsidRDefault="007D00B7" w:rsidP="007D00B7">
      <w:pPr>
        <w:pStyle w:val="Heading1"/>
        <w:spacing w:before="0" w:line="240" w:lineRule="auto"/>
      </w:pPr>
    </w:p>
    <w:p w14:paraId="2F623628" w14:textId="63F46F3E" w:rsidR="004028D8" w:rsidRPr="009460A1" w:rsidRDefault="004028D8" w:rsidP="007D00B7">
      <w:pPr>
        <w:pStyle w:val="Heading1"/>
        <w:spacing w:before="0" w:line="240" w:lineRule="auto"/>
      </w:pPr>
      <w:r w:rsidRPr="00ED500C">
        <w:rPr>
          <w:lang w:bidi="fr-CA"/>
        </w:rPr>
        <w:t>Sollicitation des commentaires du public</w:t>
      </w:r>
    </w:p>
    <w:p w14:paraId="13B8293A" w14:textId="77777777" w:rsidR="007D00B7" w:rsidRPr="009460A1" w:rsidRDefault="007D00B7" w:rsidP="007D00B7">
      <w:pPr>
        <w:spacing w:after="0" w:line="240" w:lineRule="auto"/>
        <w:rPr>
          <w:rFonts w:asciiTheme="minorHAnsi" w:hAnsiTheme="minorHAnsi" w:cstheme="minorHAnsi"/>
          <w:b/>
        </w:rPr>
      </w:pPr>
    </w:p>
    <w:p w14:paraId="7A711633" w14:textId="3A9638EC" w:rsidR="007D00B7" w:rsidRPr="00C6334F" w:rsidRDefault="00C6334F">
      <w:pPr>
        <w:spacing w:after="0" w:line="360" w:lineRule="auto"/>
        <w:rPr>
          <w:rFonts w:asciiTheme="minorHAnsi" w:eastAsiaTheme="majorEastAsia" w:hAnsiTheme="minorHAnsi" w:cstheme="minorHAnsi"/>
          <w:szCs w:val="32"/>
          <w:lang w:bidi="fr-CA"/>
        </w:rPr>
      </w:pPr>
      <w:r w:rsidRPr="00C6334F">
        <w:rPr>
          <w:rFonts w:asciiTheme="minorHAnsi" w:eastAsiaTheme="majorEastAsia" w:hAnsiTheme="minorHAnsi" w:cstheme="minorHAnsi"/>
          <w:szCs w:val="32"/>
          <w:lang w:bidi="fr-CA"/>
        </w:rPr>
        <w:t>13</w:t>
      </w:r>
      <w:r w:rsidR="009460A1" w:rsidRPr="00C6334F">
        <w:rPr>
          <w:rFonts w:asciiTheme="minorHAnsi" w:eastAsiaTheme="majorEastAsia" w:hAnsiTheme="minorHAnsi" w:cstheme="minorHAnsi"/>
          <w:szCs w:val="32"/>
          <w:lang w:bidi="fr-CA"/>
        </w:rPr>
        <w:t> </w:t>
      </w:r>
      <w:r w:rsidR="4B7A3684" w:rsidRPr="00C6334F">
        <w:rPr>
          <w:rFonts w:asciiTheme="minorHAnsi" w:eastAsiaTheme="majorEastAsia" w:hAnsiTheme="minorHAnsi" w:cstheme="minorHAnsi"/>
          <w:szCs w:val="32"/>
          <w:lang w:bidi="fr-CA"/>
        </w:rPr>
        <w:t xml:space="preserve">décembre 2022 </w:t>
      </w:r>
      <w:r w:rsidR="009460A1" w:rsidRPr="00C6334F">
        <w:rPr>
          <w:rFonts w:asciiTheme="minorHAnsi" w:eastAsiaTheme="majorEastAsia" w:hAnsiTheme="minorHAnsi" w:cstheme="minorHAnsi"/>
          <w:szCs w:val="32"/>
          <w:lang w:bidi="fr-CA"/>
        </w:rPr>
        <w:t>—</w:t>
      </w:r>
      <w:r w:rsidR="001E3CED" w:rsidRPr="00C6334F">
        <w:rPr>
          <w:rFonts w:asciiTheme="minorHAnsi" w:eastAsiaTheme="majorEastAsia" w:hAnsiTheme="minorHAnsi" w:cstheme="minorHAnsi"/>
          <w:szCs w:val="32"/>
          <w:lang w:bidi="fr-CA"/>
        </w:rPr>
        <w:t xml:space="preserve"> Pêches et Océans Canada doit décider si le nouveau système d</w:t>
      </w:r>
      <w:r w:rsidR="009460A1" w:rsidRPr="00C6334F">
        <w:rPr>
          <w:rFonts w:asciiTheme="minorHAnsi" w:eastAsiaTheme="majorEastAsia" w:hAnsiTheme="minorHAnsi" w:cstheme="minorHAnsi"/>
          <w:szCs w:val="32"/>
          <w:lang w:bidi="fr-CA"/>
        </w:rPr>
        <w:t>’</w:t>
      </w:r>
      <w:r w:rsidR="001E3CED" w:rsidRPr="00C6334F">
        <w:rPr>
          <w:rFonts w:asciiTheme="minorHAnsi" w:eastAsiaTheme="majorEastAsia" w:hAnsiTheme="minorHAnsi" w:cstheme="minorHAnsi"/>
          <w:szCs w:val="32"/>
          <w:lang w:bidi="fr-CA"/>
        </w:rPr>
        <w:t xml:space="preserve">énergie solaire et éolienne, situé au </w:t>
      </w:r>
      <w:r w:rsidR="00D44F41" w:rsidRPr="00C6334F">
        <w:rPr>
          <w:rFonts w:asciiTheme="minorHAnsi" w:eastAsiaTheme="majorEastAsia" w:hAnsiTheme="minorHAnsi" w:cstheme="minorHAnsi"/>
          <w:szCs w:val="32"/>
          <w:lang w:bidi="fr-CA"/>
        </w:rPr>
        <w:t>p</w:t>
      </w:r>
      <w:r w:rsidR="001E3CED" w:rsidRPr="00C6334F">
        <w:rPr>
          <w:rFonts w:asciiTheme="minorHAnsi" w:eastAsiaTheme="majorEastAsia" w:hAnsiTheme="minorHAnsi" w:cstheme="minorHAnsi"/>
          <w:szCs w:val="32"/>
          <w:lang w:bidi="fr-CA"/>
        </w:rPr>
        <w:t xml:space="preserve">hare de l’île Ivory sur la côte ouest de la Colombie-Britannique, risque de produire des répercussions négatives importantes. </w:t>
      </w:r>
    </w:p>
    <w:p w14:paraId="0A3CC660" w14:textId="77777777" w:rsidR="007D00B7" w:rsidRPr="00C6334F" w:rsidRDefault="007D00B7" w:rsidP="007D00B7">
      <w:pPr>
        <w:spacing w:after="0" w:line="360" w:lineRule="auto"/>
        <w:rPr>
          <w:rFonts w:asciiTheme="minorHAnsi" w:eastAsiaTheme="majorEastAsia" w:hAnsiTheme="minorHAnsi" w:cstheme="minorHAnsi"/>
          <w:szCs w:val="32"/>
          <w:lang w:bidi="fr-CA"/>
        </w:rPr>
      </w:pPr>
    </w:p>
    <w:p w14:paraId="393537C4" w14:textId="5F6D96BD" w:rsidR="004028D8" w:rsidRPr="00C6334F" w:rsidRDefault="004028D8" w:rsidP="007D00B7">
      <w:pPr>
        <w:spacing w:after="0" w:line="360" w:lineRule="auto"/>
        <w:rPr>
          <w:rFonts w:asciiTheme="minorHAnsi" w:hAnsiTheme="minorHAnsi" w:cstheme="minorHAnsi"/>
          <w:b/>
        </w:rPr>
      </w:pPr>
      <w:r w:rsidRPr="00C6334F">
        <w:rPr>
          <w:rFonts w:asciiTheme="minorHAnsi" w:eastAsiaTheme="majorEastAsia" w:hAnsiTheme="minorHAnsi" w:cstheme="minorHAnsi"/>
          <w:szCs w:val="32"/>
          <w:lang w:bidi="fr-CA"/>
        </w:rPr>
        <w:t>Afin de contribuer à une prise de décision éclairée, Pêches et Océans Canada sollicite les commentaires du public sur le projet et ses effets éventuels sur l’environnement. Tous les commentaires reçus seront considérés comme des renseignements publics. Pour obtenir de plus amples renseignements, les personnes devraient consulter</w:t>
      </w:r>
      <w:r w:rsidRPr="00C6334F">
        <w:rPr>
          <w:rFonts w:asciiTheme="minorHAnsi" w:hAnsiTheme="minorHAnsi" w:cstheme="minorHAnsi"/>
          <w:lang w:bidi="fr-CA"/>
        </w:rPr>
        <w:t xml:space="preserve"> l’</w:t>
      </w:r>
      <w:hyperlink r:id="rId10" w:history="1">
        <w:r w:rsidRPr="00C6334F">
          <w:rPr>
            <w:rStyle w:val="Hyperlink"/>
            <w:rFonts w:asciiTheme="minorHAnsi" w:hAnsiTheme="minorHAnsi" w:cstheme="minorHAnsi"/>
            <w:lang w:bidi="fr-CA"/>
          </w:rPr>
          <w:t>avis de confidentialité</w:t>
        </w:r>
      </w:hyperlink>
      <w:r w:rsidRPr="00C6334F">
        <w:rPr>
          <w:rFonts w:asciiTheme="minorHAnsi" w:hAnsiTheme="minorHAnsi" w:cstheme="minorHAnsi"/>
          <w:lang w:bidi="fr-CA"/>
        </w:rPr>
        <w:t xml:space="preserve"> publié sur le site Web du Registre.</w:t>
      </w:r>
    </w:p>
    <w:p w14:paraId="49A93B4F" w14:textId="30E9C760" w:rsidR="001E3CED" w:rsidRPr="00C6334F" w:rsidRDefault="004028D8" w:rsidP="283F8272">
      <w:pPr>
        <w:spacing w:after="0" w:line="360" w:lineRule="auto"/>
        <w:rPr>
          <w:rFonts w:asciiTheme="minorHAnsi" w:hAnsiTheme="minorHAnsi" w:cstheme="minorHAnsi"/>
        </w:rPr>
      </w:pPr>
      <w:r w:rsidRPr="00C6334F">
        <w:rPr>
          <w:rFonts w:asciiTheme="minorHAnsi" w:hAnsiTheme="minorHAnsi" w:cstheme="minorHAnsi"/>
          <w:lang w:bidi="fr-CA"/>
        </w:rPr>
        <w:t xml:space="preserve">Les commentaires écrits doivent être soumis d’ici le </w:t>
      </w:r>
      <w:r w:rsidR="00C6334F" w:rsidRPr="00C6334F">
        <w:rPr>
          <w:rFonts w:asciiTheme="minorHAnsi" w:hAnsiTheme="minorHAnsi" w:cstheme="minorHAnsi"/>
          <w:b/>
          <w:lang w:bidi="fr-CA"/>
        </w:rPr>
        <w:t>14</w:t>
      </w:r>
      <w:r w:rsidR="009460A1" w:rsidRPr="00C6334F">
        <w:rPr>
          <w:rFonts w:asciiTheme="minorHAnsi" w:hAnsiTheme="minorHAnsi" w:cstheme="minorHAnsi"/>
          <w:b/>
          <w:lang w:bidi="fr-CA"/>
        </w:rPr>
        <w:t> </w:t>
      </w:r>
      <w:r w:rsidR="30F88D6D" w:rsidRPr="00C6334F">
        <w:rPr>
          <w:rFonts w:asciiTheme="minorHAnsi" w:hAnsiTheme="minorHAnsi" w:cstheme="minorHAnsi"/>
          <w:b/>
          <w:lang w:bidi="fr-CA"/>
        </w:rPr>
        <w:t xml:space="preserve">janvier 2023 </w:t>
      </w:r>
      <w:r w:rsidRPr="00C6334F">
        <w:rPr>
          <w:rFonts w:asciiTheme="minorHAnsi" w:hAnsiTheme="minorHAnsi" w:cstheme="minorHAnsi"/>
          <w:lang w:bidi="fr-CA"/>
        </w:rPr>
        <w:t>à</w:t>
      </w:r>
      <w:r w:rsidR="009460A1" w:rsidRPr="00C6334F">
        <w:rPr>
          <w:rFonts w:asciiTheme="minorHAnsi" w:hAnsiTheme="minorHAnsi" w:cstheme="minorHAnsi"/>
          <w:lang w:bidi="fr-CA"/>
        </w:rPr>
        <w:t> </w:t>
      </w:r>
      <w:r w:rsidRPr="00C6334F">
        <w:rPr>
          <w:rFonts w:asciiTheme="minorHAnsi" w:hAnsiTheme="minorHAnsi" w:cstheme="minorHAnsi"/>
          <w:lang w:bidi="fr-CA"/>
        </w:rPr>
        <w:t>:</w:t>
      </w:r>
    </w:p>
    <w:p w14:paraId="2C4993E4" w14:textId="77777777" w:rsidR="007D00B7" w:rsidRPr="009460A1" w:rsidRDefault="007D00B7" w:rsidP="007D00B7">
      <w:pPr>
        <w:spacing w:after="0" w:line="360" w:lineRule="auto"/>
        <w:rPr>
          <w:rFonts w:asciiTheme="minorHAnsi" w:hAnsiTheme="minorHAnsi" w:cstheme="minorHAnsi"/>
        </w:rPr>
      </w:pPr>
    </w:p>
    <w:p w14:paraId="159390B3" w14:textId="22FCAC8D" w:rsidR="007D00B7" w:rsidRPr="00C6334F" w:rsidRDefault="00B7461C" w:rsidP="007D00B7">
      <w:pPr>
        <w:pStyle w:val="Heading1"/>
        <w:spacing w:before="0" w:line="360"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lastRenderedPageBreak/>
        <w:t>Emily Sapsford, ingénieure de projet</w:t>
      </w:r>
    </w:p>
    <w:p w14:paraId="5922D634" w14:textId="1A5A6C82" w:rsidR="007D00B7" w:rsidRPr="00C6334F" w:rsidRDefault="007D00B7" w:rsidP="00C6334F">
      <w:pPr>
        <w:pStyle w:val="Heading1"/>
        <w:spacing w:before="0" w:line="360"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 xml:space="preserve">Pêches et Océans Canada, Services techniques des biens immobiliers, </w:t>
      </w:r>
      <w:r w:rsidR="00D44F41" w:rsidRPr="00C6334F">
        <w:rPr>
          <w:rFonts w:asciiTheme="minorHAnsi" w:hAnsiTheme="minorHAnsi" w:cstheme="minorHAnsi"/>
          <w:color w:val="auto"/>
          <w:sz w:val="22"/>
          <w:lang w:bidi="fr-CA"/>
        </w:rPr>
        <w:t>r</w:t>
      </w:r>
      <w:r w:rsidRPr="00C6334F">
        <w:rPr>
          <w:rFonts w:asciiTheme="minorHAnsi" w:hAnsiTheme="minorHAnsi" w:cstheme="minorHAnsi"/>
          <w:color w:val="auto"/>
          <w:sz w:val="22"/>
          <w:lang w:bidi="fr-CA"/>
        </w:rPr>
        <w:t>égion du Pacifique</w:t>
      </w:r>
    </w:p>
    <w:p w14:paraId="2880650E" w14:textId="7AF174C3" w:rsidR="007D00B7" w:rsidRPr="00C6334F" w:rsidRDefault="007D00B7"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Courriel</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Emily.Sapsford@dfo-mpo.gc.ca</w:t>
      </w:r>
    </w:p>
    <w:p w14:paraId="60B18D98" w14:textId="495BE836" w:rsidR="007D00B7" w:rsidRPr="00C6334F" w:rsidRDefault="007D00B7"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Tél.</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250</w:t>
      </w:r>
      <w:r w:rsidR="00D44F4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217-0323</w:t>
      </w:r>
    </w:p>
    <w:p w14:paraId="1691F350" w14:textId="70D42728" w:rsidR="007D00B7" w:rsidRPr="00C6334F" w:rsidRDefault="007D00B7"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401, rue Burrard, bureau</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200</w:t>
      </w:r>
    </w:p>
    <w:p w14:paraId="782FF789" w14:textId="77777777" w:rsidR="007D00B7" w:rsidRPr="00C6334F" w:rsidRDefault="007D00B7"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Vancouver (Colombie-Britannique)</w:t>
      </w:r>
    </w:p>
    <w:p w14:paraId="2744A10A" w14:textId="77777777" w:rsidR="007D00B7" w:rsidRPr="00C6334F" w:rsidRDefault="007D00B7"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V6C 3S4</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rPr>
          <w:lang w:bidi="fr-CA"/>
        </w:rPr>
        <w:t>Sommaire de l’évaluation</w:t>
      </w:r>
    </w:p>
    <w:p w14:paraId="3AC3A9B7" w14:textId="77777777" w:rsidR="007D00B7" w:rsidRPr="00C6334F" w:rsidRDefault="007D00B7" w:rsidP="00C6334F">
      <w:pPr>
        <w:pStyle w:val="Heading1"/>
        <w:spacing w:before="0" w:line="276" w:lineRule="auto"/>
        <w:rPr>
          <w:rFonts w:asciiTheme="minorHAnsi" w:hAnsiTheme="minorHAnsi" w:cstheme="minorHAnsi"/>
          <w:color w:val="auto"/>
          <w:sz w:val="22"/>
          <w:lang w:bidi="fr-CA"/>
        </w:rPr>
      </w:pPr>
    </w:p>
    <w:p w14:paraId="2D3E00D1" w14:textId="60B0AAB0" w:rsidR="00562015" w:rsidRPr="00C6334F" w:rsidRDefault="00562015" w:rsidP="006D50BB">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 xml:space="preserve">Le MPO et la GCC proposent d’installer un système d’énergie renouvelable au phare de l’île Ivory. Le phare est occupé par deux gardiens </w:t>
      </w:r>
      <w:r w:rsidR="00694859" w:rsidRPr="00C6334F">
        <w:rPr>
          <w:rFonts w:asciiTheme="minorHAnsi" w:hAnsiTheme="minorHAnsi" w:cstheme="minorHAnsi"/>
          <w:color w:val="auto"/>
          <w:sz w:val="22"/>
          <w:lang w:bidi="fr-CA"/>
        </w:rPr>
        <w:t>en tout temps</w:t>
      </w:r>
      <w:r w:rsidRPr="00C6334F">
        <w:rPr>
          <w:rFonts w:asciiTheme="minorHAnsi" w:hAnsiTheme="minorHAnsi" w:cstheme="minorHAnsi"/>
          <w:color w:val="auto"/>
          <w:sz w:val="22"/>
          <w:lang w:bidi="fr-CA"/>
        </w:rPr>
        <w:t>, conformément aux exigences relatives à la sécurité maritime. Actuellement, la station est alimentée par des générateurs fonctionnant au carburant diesel. Ceux-ci alimentent en électricité les trois résidences, l</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 xml:space="preserve">équipement de communication radio, le système de surveillance météorologique et les nombreux autres bâtiments et actifs de la station. La conception proposée a été choisie </w:t>
      </w:r>
      <w:r w:rsidR="00D44F41" w:rsidRPr="00C6334F">
        <w:rPr>
          <w:rFonts w:asciiTheme="minorHAnsi" w:hAnsiTheme="minorHAnsi" w:cstheme="minorHAnsi"/>
          <w:color w:val="auto"/>
          <w:sz w:val="22"/>
          <w:lang w:bidi="fr-CA"/>
        </w:rPr>
        <w:t>en raison de</w:t>
      </w:r>
      <w:r w:rsidR="00694859" w:rsidRPr="00C6334F">
        <w:rPr>
          <w:rFonts w:asciiTheme="minorHAnsi" w:hAnsiTheme="minorHAnsi" w:cstheme="minorHAnsi"/>
          <w:color w:val="auto"/>
          <w:sz w:val="22"/>
          <w:lang w:bidi="fr-CA"/>
        </w:rPr>
        <w:t xml:space="preserve"> sa capacité</w:t>
      </w:r>
      <w:r w:rsidRPr="00C6334F">
        <w:rPr>
          <w:rFonts w:asciiTheme="minorHAnsi" w:hAnsiTheme="minorHAnsi" w:cstheme="minorHAnsi"/>
          <w:color w:val="auto"/>
          <w:sz w:val="22"/>
          <w:lang w:bidi="fr-CA"/>
        </w:rPr>
        <w:t xml:space="preserve"> </w:t>
      </w:r>
      <w:r w:rsidR="00694859" w:rsidRPr="00C6334F">
        <w:rPr>
          <w:rFonts w:asciiTheme="minorHAnsi" w:hAnsiTheme="minorHAnsi" w:cstheme="minorHAnsi"/>
          <w:color w:val="auto"/>
          <w:sz w:val="22"/>
          <w:lang w:bidi="fr-CA"/>
        </w:rPr>
        <w:t>à</w:t>
      </w:r>
      <w:r w:rsidRPr="00C6334F">
        <w:rPr>
          <w:rFonts w:asciiTheme="minorHAnsi" w:hAnsiTheme="minorHAnsi" w:cstheme="minorHAnsi"/>
          <w:color w:val="auto"/>
          <w:sz w:val="22"/>
          <w:lang w:bidi="fr-CA"/>
        </w:rPr>
        <w:t xml:space="preserve"> réduire la consommation de carburant sur le site en intégrant des sources d</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énergie renouvelable.</w:t>
      </w:r>
    </w:p>
    <w:p w14:paraId="7B115012" w14:textId="77777777" w:rsidR="006D50BB" w:rsidRPr="00C6334F" w:rsidRDefault="006D50BB" w:rsidP="006D50BB">
      <w:pPr>
        <w:pStyle w:val="Heading1"/>
        <w:spacing w:before="0" w:line="276" w:lineRule="auto"/>
        <w:rPr>
          <w:rFonts w:asciiTheme="minorHAnsi" w:hAnsiTheme="minorHAnsi" w:cstheme="minorHAnsi"/>
          <w:color w:val="auto"/>
          <w:sz w:val="22"/>
          <w:lang w:bidi="fr-CA"/>
        </w:rPr>
      </w:pPr>
    </w:p>
    <w:p w14:paraId="66A1329B" w14:textId="16745B43" w:rsidR="00562015" w:rsidRPr="00C6334F" w:rsidRDefault="00562015"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Le projet proposé comprend l</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installation de deux réseaux de panneaux solaires avec des fondations en béton d</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une superficie d</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environ 26</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xml:space="preserve">m </w:t>
      </w:r>
      <w:r w:rsidR="00D44F41" w:rsidRPr="00C6334F">
        <w:rPr>
          <w:rFonts w:asciiTheme="minorHAnsi" w:hAnsiTheme="minorHAnsi" w:cstheme="minorHAnsi"/>
          <w:color w:val="auto"/>
          <w:sz w:val="22"/>
          <w:lang w:bidi="fr-CA"/>
        </w:rPr>
        <w:t>sur</w:t>
      </w:r>
      <w:r w:rsidRPr="00C6334F">
        <w:rPr>
          <w:rFonts w:asciiTheme="minorHAnsi" w:hAnsiTheme="minorHAnsi" w:cstheme="minorHAnsi"/>
          <w:color w:val="auto"/>
          <w:sz w:val="22"/>
          <w:lang w:bidi="fr-CA"/>
        </w:rPr>
        <w:t xml:space="preserve"> 12</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m, ainsi que deux éoliennes de 3</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kW avec des fondations en béton de 2,2</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xml:space="preserve">m </w:t>
      </w:r>
      <w:r w:rsidR="00D44F41" w:rsidRPr="00C6334F">
        <w:rPr>
          <w:rFonts w:asciiTheme="minorHAnsi" w:hAnsiTheme="minorHAnsi" w:cstheme="minorHAnsi"/>
          <w:color w:val="auto"/>
          <w:sz w:val="22"/>
          <w:lang w:bidi="fr-CA"/>
        </w:rPr>
        <w:t>sur</w:t>
      </w:r>
      <w:r w:rsidRPr="00C6334F">
        <w:rPr>
          <w:rFonts w:asciiTheme="minorHAnsi" w:hAnsiTheme="minorHAnsi" w:cstheme="minorHAnsi"/>
          <w:color w:val="auto"/>
          <w:sz w:val="22"/>
          <w:lang w:bidi="fr-CA"/>
        </w:rPr>
        <w:t xml:space="preserve"> 2,2</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m. La nouvelle infrastructure sera connectée à un système de stockage d</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énergie composé de batteries et d</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onduleurs,</w:t>
      </w:r>
      <w:r w:rsidR="00694859" w:rsidRPr="00C6334F">
        <w:rPr>
          <w:rFonts w:asciiTheme="minorHAnsi" w:hAnsiTheme="minorHAnsi" w:cstheme="minorHAnsi"/>
          <w:color w:val="auto"/>
          <w:sz w:val="22"/>
          <w:lang w:bidi="fr-CA"/>
        </w:rPr>
        <w:t xml:space="preserve"> tous</w:t>
      </w:r>
      <w:r w:rsidRPr="00C6334F">
        <w:rPr>
          <w:rFonts w:asciiTheme="minorHAnsi" w:hAnsiTheme="minorHAnsi" w:cstheme="minorHAnsi"/>
          <w:color w:val="auto"/>
          <w:sz w:val="22"/>
          <w:lang w:bidi="fr-CA"/>
        </w:rPr>
        <w:t xml:space="preserve"> logés dans le bâtiment existant du moteur.</w:t>
      </w:r>
    </w:p>
    <w:p w14:paraId="2A696E12" w14:textId="3B3E787D" w:rsidR="00562015" w:rsidRPr="00C6334F" w:rsidRDefault="00562015"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 xml:space="preserve"> </w:t>
      </w:r>
    </w:p>
    <w:p w14:paraId="29B0689B" w14:textId="53BDB610" w:rsidR="00562015" w:rsidRPr="00C6334F" w:rsidRDefault="00562015" w:rsidP="00562015">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Des perturbations du sol sont prévues dans les zones où les fondations en béton seront posées ainsi qu</w:t>
      </w:r>
      <w:r w:rsidR="009460A1" w:rsidRPr="00C6334F">
        <w:rPr>
          <w:rFonts w:asciiTheme="minorHAnsi" w:hAnsiTheme="minorHAnsi" w:cstheme="minorHAnsi"/>
          <w:color w:val="auto"/>
          <w:sz w:val="22"/>
          <w:lang w:bidi="fr-CA"/>
        </w:rPr>
        <w:t>’</w:t>
      </w:r>
      <w:r w:rsidRPr="00C6334F">
        <w:rPr>
          <w:rFonts w:asciiTheme="minorHAnsi" w:hAnsiTheme="minorHAnsi" w:cstheme="minorHAnsi"/>
          <w:color w:val="auto"/>
          <w:sz w:val="22"/>
          <w:lang w:bidi="fr-CA"/>
        </w:rPr>
        <w:t>aux endroits où se trouveront les lignes de conduite. Une série de chemins de câbles mesurant 125</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m sera installée le long des passerelles entre le réseau de panneaux solaires proposé et le bâtiment du moteur où seront stockées les batteries. Les chemins de câbles seront surélevés et fixés à la passerelle existante ou forés dans le substratum rocheux si nécessaire.</w:t>
      </w:r>
    </w:p>
    <w:p w14:paraId="3835573E" w14:textId="77777777" w:rsidR="00562015" w:rsidRPr="00C6334F" w:rsidRDefault="00562015" w:rsidP="00C6334F">
      <w:pPr>
        <w:pStyle w:val="Heading1"/>
        <w:spacing w:before="0" w:line="276" w:lineRule="auto"/>
        <w:rPr>
          <w:rFonts w:asciiTheme="minorHAnsi" w:hAnsiTheme="minorHAnsi" w:cstheme="minorHAnsi"/>
          <w:color w:val="auto"/>
          <w:sz w:val="22"/>
          <w:lang w:bidi="fr-CA"/>
        </w:rPr>
      </w:pPr>
    </w:p>
    <w:p w14:paraId="20B74856" w14:textId="1F643E6F" w:rsidR="00562015" w:rsidRPr="00C6334F" w:rsidRDefault="00562015" w:rsidP="283F8272">
      <w:pPr>
        <w:pStyle w:val="Heading1"/>
        <w:spacing w:before="0" w:line="276" w:lineRule="auto"/>
        <w:rPr>
          <w:rFonts w:asciiTheme="minorHAnsi" w:hAnsiTheme="minorHAnsi" w:cstheme="minorHAnsi"/>
          <w:color w:val="auto"/>
          <w:sz w:val="22"/>
          <w:lang w:bidi="fr-CA"/>
        </w:rPr>
      </w:pPr>
      <w:r w:rsidRPr="00C6334F">
        <w:rPr>
          <w:rFonts w:asciiTheme="minorHAnsi" w:hAnsiTheme="minorHAnsi" w:cstheme="minorHAnsi"/>
          <w:color w:val="auto"/>
          <w:sz w:val="22"/>
          <w:lang w:bidi="fr-CA"/>
        </w:rPr>
        <w:t xml:space="preserve">On procédera à un élingage par hélicoptère pour mobiliser et démobiliser l’équipement, </w:t>
      </w:r>
      <w:r w:rsidR="00694859" w:rsidRPr="00C6334F">
        <w:rPr>
          <w:rFonts w:asciiTheme="minorHAnsi" w:hAnsiTheme="minorHAnsi" w:cstheme="minorHAnsi"/>
          <w:color w:val="auto"/>
          <w:sz w:val="22"/>
          <w:lang w:bidi="fr-CA"/>
        </w:rPr>
        <w:t xml:space="preserve">tout en comptant sur </w:t>
      </w:r>
      <w:r w:rsidRPr="00C6334F">
        <w:rPr>
          <w:rFonts w:asciiTheme="minorHAnsi" w:hAnsiTheme="minorHAnsi" w:cstheme="minorHAnsi"/>
          <w:color w:val="auto"/>
          <w:sz w:val="22"/>
          <w:lang w:bidi="fr-CA"/>
        </w:rPr>
        <w:t>un remorqueur et une barge.</w:t>
      </w:r>
    </w:p>
    <w:p w14:paraId="2C5BCF63" w14:textId="4FCDAECA" w:rsidR="007D00B7" w:rsidRDefault="004028D8" w:rsidP="00562015">
      <w:pPr>
        <w:pStyle w:val="Heading1"/>
      </w:pPr>
      <w:r w:rsidRPr="00376E8F">
        <w:rPr>
          <w:lang w:bidi="fr-CA"/>
        </w:rPr>
        <w:t>Lieux du projet</w:t>
      </w:r>
    </w:p>
    <w:p w14:paraId="67891D96" w14:textId="42CD3FA7" w:rsidR="006D50BB" w:rsidRPr="00C6334F" w:rsidRDefault="00B7461C" w:rsidP="006D50BB">
      <w:pPr>
        <w:pStyle w:val="Heading1"/>
        <w:spacing w:before="0" w:line="276" w:lineRule="auto"/>
        <w:rPr>
          <w:rFonts w:asciiTheme="minorHAnsi" w:eastAsiaTheme="minorHAnsi" w:hAnsiTheme="minorHAnsi" w:cstheme="minorHAnsi"/>
          <w:color w:val="auto"/>
          <w:sz w:val="22"/>
          <w:szCs w:val="22"/>
        </w:rPr>
      </w:pPr>
      <w:r w:rsidRPr="00B7461C">
        <w:rPr>
          <w:lang w:bidi="fr-CA"/>
        </w:rPr>
        <w:br/>
      </w:r>
      <w:r w:rsidR="006D50BB" w:rsidRPr="00C6334F">
        <w:rPr>
          <w:rFonts w:asciiTheme="minorHAnsi" w:hAnsiTheme="minorHAnsi" w:cstheme="minorHAnsi"/>
          <w:color w:val="auto"/>
          <w:sz w:val="22"/>
          <w:lang w:bidi="fr-CA"/>
        </w:rPr>
        <w:t xml:space="preserve">Le </w:t>
      </w:r>
      <w:r w:rsidR="00D44F41" w:rsidRPr="00C6334F">
        <w:rPr>
          <w:rFonts w:asciiTheme="minorHAnsi" w:hAnsiTheme="minorHAnsi" w:cstheme="minorHAnsi"/>
          <w:color w:val="auto"/>
          <w:sz w:val="22"/>
          <w:lang w:bidi="fr-CA"/>
        </w:rPr>
        <w:t>p</w:t>
      </w:r>
      <w:r w:rsidR="006D50BB" w:rsidRPr="00C6334F">
        <w:rPr>
          <w:rFonts w:asciiTheme="minorHAnsi" w:hAnsiTheme="minorHAnsi" w:cstheme="minorHAnsi"/>
          <w:color w:val="auto"/>
          <w:sz w:val="22"/>
          <w:lang w:bidi="fr-CA"/>
        </w:rPr>
        <w:t>hare de l’île Ivory est situé à environ 22</w:t>
      </w:r>
      <w:r w:rsidR="009460A1" w:rsidRPr="00C6334F">
        <w:rPr>
          <w:rFonts w:asciiTheme="minorHAnsi" w:hAnsiTheme="minorHAnsi" w:cstheme="minorHAnsi"/>
          <w:color w:val="auto"/>
          <w:sz w:val="22"/>
          <w:lang w:bidi="fr-CA"/>
        </w:rPr>
        <w:t> </w:t>
      </w:r>
      <w:r w:rsidR="006D50BB" w:rsidRPr="00C6334F">
        <w:rPr>
          <w:rFonts w:asciiTheme="minorHAnsi" w:hAnsiTheme="minorHAnsi" w:cstheme="minorHAnsi"/>
          <w:color w:val="auto"/>
          <w:sz w:val="22"/>
          <w:lang w:bidi="fr-CA"/>
        </w:rPr>
        <w:t xml:space="preserve">kilomètres au nord-ouest de Bella Bella, en Colombie-Britannique. </w:t>
      </w:r>
    </w:p>
    <w:p w14:paraId="1240F46A" w14:textId="4E8020F8" w:rsidR="006D50BB" w:rsidRPr="00C6334F" w:rsidRDefault="00D44F41" w:rsidP="006D50BB">
      <w:pPr>
        <w:pStyle w:val="Heading1"/>
        <w:spacing w:before="0" w:line="276" w:lineRule="auto"/>
        <w:rPr>
          <w:rFonts w:asciiTheme="minorHAnsi" w:hAnsiTheme="minorHAnsi" w:cstheme="minorHAnsi"/>
        </w:rPr>
      </w:pPr>
      <w:r w:rsidRPr="00C6334F">
        <w:rPr>
          <w:rFonts w:asciiTheme="minorHAnsi" w:hAnsiTheme="minorHAnsi" w:cstheme="minorHAnsi"/>
          <w:color w:val="auto"/>
          <w:sz w:val="22"/>
          <w:lang w:bidi="fr-CA"/>
        </w:rPr>
        <w:t xml:space="preserve">Le terrain </w:t>
      </w:r>
      <w:r w:rsidR="006D50BB" w:rsidRPr="00C6334F">
        <w:rPr>
          <w:rFonts w:asciiTheme="minorHAnsi" w:hAnsiTheme="minorHAnsi" w:cstheme="minorHAnsi"/>
          <w:color w:val="auto"/>
          <w:sz w:val="22"/>
          <w:lang w:bidi="fr-CA"/>
        </w:rPr>
        <w:t>est d</w:t>
      </w:r>
      <w:r w:rsidR="009460A1" w:rsidRPr="00C6334F">
        <w:rPr>
          <w:rFonts w:asciiTheme="minorHAnsi" w:hAnsiTheme="minorHAnsi" w:cstheme="minorHAnsi"/>
          <w:color w:val="auto"/>
          <w:sz w:val="22"/>
          <w:lang w:bidi="fr-CA"/>
        </w:rPr>
        <w:t>’</w:t>
      </w:r>
      <w:r w:rsidR="006D50BB" w:rsidRPr="00C6334F">
        <w:rPr>
          <w:rFonts w:asciiTheme="minorHAnsi" w:hAnsiTheme="minorHAnsi" w:cstheme="minorHAnsi"/>
          <w:color w:val="auto"/>
          <w:sz w:val="22"/>
          <w:lang w:bidi="fr-CA"/>
        </w:rPr>
        <w:t>environ 1,5</w:t>
      </w:r>
      <w:r w:rsidR="009460A1" w:rsidRPr="00C6334F">
        <w:rPr>
          <w:rFonts w:asciiTheme="minorHAnsi" w:hAnsiTheme="minorHAnsi" w:cstheme="minorHAnsi"/>
          <w:color w:val="auto"/>
          <w:sz w:val="22"/>
          <w:lang w:bidi="fr-CA"/>
        </w:rPr>
        <w:t> </w:t>
      </w:r>
      <w:r w:rsidR="006D50BB" w:rsidRPr="00C6334F">
        <w:rPr>
          <w:rFonts w:asciiTheme="minorHAnsi" w:hAnsiTheme="minorHAnsi" w:cstheme="minorHAnsi"/>
          <w:color w:val="auto"/>
          <w:sz w:val="22"/>
          <w:lang w:bidi="fr-CA"/>
        </w:rPr>
        <w:t>hectare</w:t>
      </w:r>
      <w:r w:rsidR="00694859" w:rsidRPr="00C6334F">
        <w:rPr>
          <w:rFonts w:asciiTheme="minorHAnsi" w:hAnsiTheme="minorHAnsi" w:cstheme="minorHAnsi"/>
          <w:color w:val="auto"/>
          <w:sz w:val="22"/>
          <w:lang w:bidi="fr-CA"/>
        </w:rPr>
        <w:t xml:space="preserve"> et on </w:t>
      </w:r>
      <w:r w:rsidR="006D50BB" w:rsidRPr="00C6334F">
        <w:rPr>
          <w:rFonts w:asciiTheme="minorHAnsi" w:hAnsiTheme="minorHAnsi" w:cstheme="minorHAnsi"/>
          <w:color w:val="auto"/>
          <w:sz w:val="22"/>
          <w:lang w:bidi="fr-CA"/>
        </w:rPr>
        <w:t xml:space="preserve">peut y accéder par bateau ou par hélicoptère uniquement. Le phare est reconnu comme un bâtiment à caractère patrimonial par la </w:t>
      </w:r>
      <w:r w:rsidR="006D50BB" w:rsidRPr="00C6334F">
        <w:rPr>
          <w:rFonts w:asciiTheme="minorHAnsi" w:hAnsiTheme="minorHAnsi" w:cstheme="minorHAnsi"/>
          <w:i/>
          <w:iCs/>
          <w:color w:val="auto"/>
          <w:sz w:val="22"/>
          <w:lang w:bidi="fr-CA"/>
        </w:rPr>
        <w:t>Loi sur la protection des phares patrimoniaux</w:t>
      </w:r>
      <w:r w:rsidR="006D50BB" w:rsidRPr="00C6334F">
        <w:rPr>
          <w:rFonts w:asciiTheme="minorHAnsi" w:hAnsiTheme="minorHAnsi" w:cstheme="minorHAnsi"/>
          <w:color w:val="auto"/>
          <w:sz w:val="22"/>
          <w:lang w:bidi="fr-CA"/>
        </w:rPr>
        <w:t>.</w:t>
      </w:r>
      <w:r w:rsidR="006D50BB" w:rsidRPr="00C6334F">
        <w:rPr>
          <w:rFonts w:asciiTheme="minorHAnsi" w:hAnsiTheme="minorHAnsi" w:cstheme="minorHAnsi"/>
          <w:lang w:bidi="fr-CA"/>
        </w:rPr>
        <w:t xml:space="preserve"> </w:t>
      </w:r>
    </w:p>
    <w:p w14:paraId="60ED2FB7" w14:textId="45020FF5" w:rsidR="006D50BB" w:rsidRPr="00C6334F" w:rsidRDefault="006D50BB" w:rsidP="006D50BB">
      <w:pPr>
        <w:pStyle w:val="Heading1"/>
        <w:shd w:val="clear" w:color="auto" w:fill="FFFFFF"/>
        <w:spacing w:before="0"/>
        <w:textAlignment w:val="baseline"/>
        <w:rPr>
          <w:rFonts w:asciiTheme="minorHAnsi" w:hAnsiTheme="minorHAnsi" w:cstheme="minorHAnsi"/>
          <w:color w:val="202124"/>
        </w:rPr>
      </w:pPr>
      <w:r w:rsidRPr="00C6334F">
        <w:rPr>
          <w:rFonts w:asciiTheme="minorHAnsi" w:hAnsiTheme="minorHAnsi" w:cstheme="minorHAnsi"/>
          <w:color w:val="auto"/>
          <w:sz w:val="22"/>
          <w:lang w:bidi="fr-CA"/>
        </w:rPr>
        <w:br/>
        <w:t>Coordonnées</w:t>
      </w:r>
      <w:r w:rsidRPr="00C6334F">
        <w:rPr>
          <w:rFonts w:asciiTheme="minorHAnsi" w:hAnsiTheme="minorHAnsi" w:cstheme="minorHAnsi"/>
          <w:color w:val="auto"/>
          <w:sz w:val="22"/>
          <w:lang w:bidi="fr-CA"/>
        </w:rPr>
        <w:br/>
      </w:r>
      <w:bookmarkStart w:id="0" w:name="_Hlk111207923"/>
      <w:r w:rsidRPr="00C6334F">
        <w:rPr>
          <w:rFonts w:asciiTheme="minorHAnsi" w:hAnsiTheme="minorHAnsi" w:cstheme="minorHAnsi"/>
          <w:color w:val="auto"/>
          <w:sz w:val="22"/>
          <w:lang w:bidi="fr-CA"/>
        </w:rPr>
        <w:t>Latitude</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52° 16’ 11" N</w:t>
      </w:r>
    </w:p>
    <w:p w14:paraId="064C7BF1" w14:textId="7B2B087C" w:rsidR="006D50BB" w:rsidRPr="00C6334F" w:rsidRDefault="006D50BB" w:rsidP="006D50BB">
      <w:pPr>
        <w:pStyle w:val="Heading1"/>
        <w:shd w:val="clear" w:color="auto" w:fill="FFFFFF"/>
        <w:spacing w:before="0"/>
        <w:textAlignment w:val="baseline"/>
        <w:rPr>
          <w:rFonts w:asciiTheme="minorHAnsi" w:eastAsiaTheme="minorHAnsi" w:hAnsiTheme="minorHAnsi" w:cstheme="minorHAnsi"/>
          <w:color w:val="auto"/>
          <w:sz w:val="22"/>
          <w:szCs w:val="22"/>
        </w:rPr>
      </w:pPr>
      <w:r w:rsidRPr="00C6334F">
        <w:rPr>
          <w:rFonts w:asciiTheme="minorHAnsi" w:hAnsiTheme="minorHAnsi" w:cstheme="minorHAnsi"/>
          <w:color w:val="auto"/>
          <w:sz w:val="22"/>
          <w:lang w:bidi="fr-CA"/>
        </w:rPr>
        <w:t>Longitude</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xml:space="preserve">: 128° 24’ 23" </w:t>
      </w:r>
      <w:r w:rsidR="00D44F41" w:rsidRPr="00C6334F">
        <w:rPr>
          <w:rFonts w:asciiTheme="minorHAnsi" w:hAnsiTheme="minorHAnsi" w:cstheme="minorHAnsi"/>
          <w:color w:val="auto"/>
          <w:sz w:val="22"/>
          <w:lang w:bidi="fr-CA"/>
        </w:rPr>
        <w:t>W</w:t>
      </w:r>
      <w:bookmarkEnd w:id="0"/>
    </w:p>
    <w:p w14:paraId="1F573E60" w14:textId="21A0AFE9"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3F8679DA" w14:textId="2C894CC5" w:rsidR="00241798" w:rsidRPr="000663A5" w:rsidRDefault="00241798" w:rsidP="001E3CED">
      <w:pPr>
        <w:rPr>
          <w:rFonts w:asciiTheme="minorHAnsi" w:hAnsiTheme="minorHAnsi" w:cstheme="minorBidi"/>
          <w:lang w:val="fr-FR"/>
        </w:rPr>
      </w:pPr>
      <w:bookmarkStart w:id="1" w:name="_GoBack"/>
      <w:bookmarkEnd w:id="1"/>
    </w:p>
    <w:sectPr w:rsidR="00241798" w:rsidRPr="000663A5"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DB66" w14:textId="77777777" w:rsidR="00941467" w:rsidRDefault="00941467" w:rsidP="00AF49B1">
      <w:pPr>
        <w:spacing w:after="0" w:line="240" w:lineRule="auto"/>
      </w:pPr>
      <w:r>
        <w:separator/>
      </w:r>
    </w:p>
  </w:endnote>
  <w:endnote w:type="continuationSeparator" w:id="0">
    <w:p w14:paraId="7A4ED235" w14:textId="77777777" w:rsidR="00941467" w:rsidRDefault="00941467"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713F" w14:textId="77777777" w:rsidR="00941467" w:rsidRDefault="00941467" w:rsidP="00AF49B1">
      <w:pPr>
        <w:spacing w:after="0" w:line="240" w:lineRule="auto"/>
      </w:pPr>
      <w:r>
        <w:separator/>
      </w:r>
    </w:p>
  </w:footnote>
  <w:footnote w:type="continuationSeparator" w:id="0">
    <w:p w14:paraId="368BD1FD" w14:textId="77777777" w:rsidR="00941467" w:rsidRDefault="00941467"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63A5"/>
    <w:rsid w:val="000959AF"/>
    <w:rsid w:val="000C4CE0"/>
    <w:rsid w:val="000E396E"/>
    <w:rsid w:val="000F43F7"/>
    <w:rsid w:val="001356F5"/>
    <w:rsid w:val="001429A1"/>
    <w:rsid w:val="00184F1C"/>
    <w:rsid w:val="001B5323"/>
    <w:rsid w:val="001E3CED"/>
    <w:rsid w:val="001E6123"/>
    <w:rsid w:val="00210E06"/>
    <w:rsid w:val="00241798"/>
    <w:rsid w:val="00244203"/>
    <w:rsid w:val="002C54FE"/>
    <w:rsid w:val="002D0BC3"/>
    <w:rsid w:val="00337767"/>
    <w:rsid w:val="0034497E"/>
    <w:rsid w:val="00376E8F"/>
    <w:rsid w:val="00386C9C"/>
    <w:rsid w:val="003B55E4"/>
    <w:rsid w:val="003D4FE0"/>
    <w:rsid w:val="004028D8"/>
    <w:rsid w:val="0041261D"/>
    <w:rsid w:val="00452209"/>
    <w:rsid w:val="00461212"/>
    <w:rsid w:val="004A0E02"/>
    <w:rsid w:val="004C12FB"/>
    <w:rsid w:val="004F5238"/>
    <w:rsid w:val="00500C71"/>
    <w:rsid w:val="005454DB"/>
    <w:rsid w:val="00550FD1"/>
    <w:rsid w:val="00562015"/>
    <w:rsid w:val="00587E47"/>
    <w:rsid w:val="005E689E"/>
    <w:rsid w:val="005F3379"/>
    <w:rsid w:val="00643F7A"/>
    <w:rsid w:val="00644386"/>
    <w:rsid w:val="00654894"/>
    <w:rsid w:val="00685DA0"/>
    <w:rsid w:val="00694859"/>
    <w:rsid w:val="006978B4"/>
    <w:rsid w:val="006D50BB"/>
    <w:rsid w:val="00711279"/>
    <w:rsid w:val="00716015"/>
    <w:rsid w:val="007477ED"/>
    <w:rsid w:val="00777B19"/>
    <w:rsid w:val="00783D89"/>
    <w:rsid w:val="007C0773"/>
    <w:rsid w:val="007D00B7"/>
    <w:rsid w:val="008B6DA0"/>
    <w:rsid w:val="00916C25"/>
    <w:rsid w:val="009404CA"/>
    <w:rsid w:val="00941467"/>
    <w:rsid w:val="009460A1"/>
    <w:rsid w:val="00965F0F"/>
    <w:rsid w:val="0097387A"/>
    <w:rsid w:val="00990089"/>
    <w:rsid w:val="009A01AF"/>
    <w:rsid w:val="009B694C"/>
    <w:rsid w:val="00A13228"/>
    <w:rsid w:val="00A22F5C"/>
    <w:rsid w:val="00A23758"/>
    <w:rsid w:val="00A237B3"/>
    <w:rsid w:val="00A54232"/>
    <w:rsid w:val="00AF49B1"/>
    <w:rsid w:val="00B57DC1"/>
    <w:rsid w:val="00B7461C"/>
    <w:rsid w:val="00B91135"/>
    <w:rsid w:val="00BB61D7"/>
    <w:rsid w:val="00BC1FE5"/>
    <w:rsid w:val="00BC4DA6"/>
    <w:rsid w:val="00C6334F"/>
    <w:rsid w:val="00CA05F9"/>
    <w:rsid w:val="00CC7053"/>
    <w:rsid w:val="00D354BC"/>
    <w:rsid w:val="00D44F41"/>
    <w:rsid w:val="00D96A50"/>
    <w:rsid w:val="00DB0F77"/>
    <w:rsid w:val="00DC05F0"/>
    <w:rsid w:val="00E408DC"/>
    <w:rsid w:val="00E558AE"/>
    <w:rsid w:val="00E642EF"/>
    <w:rsid w:val="00E72276"/>
    <w:rsid w:val="00ED500C"/>
    <w:rsid w:val="00F468C2"/>
    <w:rsid w:val="00F71AB0"/>
    <w:rsid w:val="00FB5E31"/>
    <w:rsid w:val="00FC52D4"/>
    <w:rsid w:val="00FE1B61"/>
    <w:rsid w:val="283F8272"/>
    <w:rsid w:val="30F88D6D"/>
    <w:rsid w:val="3993AEE0"/>
    <w:rsid w:val="4B7A3684"/>
    <w:rsid w:val="58F0E3A9"/>
    <w:rsid w:val="6F98C9D4"/>
    <w:rsid w:val="73E41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aliases w:val="Comment Text-JWA,Comment Text-AXYS2,Comment Text-GEM,Table Notes-WCC,Comment Text-AXYS21,Comment Text-AXYS22,Comment Text-AXYS211,Comment Text-AXYS23,Comment Text-AXYS212,Comment Text-AXYS24,Comment Text-AXYS213,Comment Text-AXYS25"/>
    <w:basedOn w:val="Normal"/>
    <w:link w:val="CommentTextChar"/>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aliases w:val="Comment Text-JWA Char,Comment Text-AXYS2 Char,Comment Text-GEM Char,Table Notes-WCC Char,Comment Text-AXYS21 Char,Comment Text-AXYS22 Char,Comment Text-AXYS211 Char,Comment Text-AXYS23 Char,Comment Text-AXYS212 Char"/>
    <w:basedOn w:val="DefaultParagraphFont"/>
    <w:link w:val="CommentText"/>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 w:type="paragraph" w:styleId="Revision">
    <w:name w:val="Revision"/>
    <w:hidden/>
    <w:uiPriority w:val="99"/>
    <w:semiHidden/>
    <w:rsid w:val="009460A1"/>
    <w:pPr>
      <w:spacing w:after="0" w:line="240" w:lineRule="auto"/>
    </w:pPr>
    <w:rPr>
      <w:rFonts w:ascii="Arial" w:hAnsi="Arial" w:cs="Arial"/>
    </w:rPr>
  </w:style>
  <w:style w:type="paragraph" w:styleId="Header">
    <w:name w:val="header"/>
    <w:basedOn w:val="Normal"/>
    <w:link w:val="HeaderChar"/>
    <w:uiPriority w:val="99"/>
    <w:unhideWhenUsed/>
    <w:rsid w:val="00946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0A1"/>
    <w:rPr>
      <w:rFonts w:ascii="Arial" w:hAnsi="Arial" w:cs="Arial"/>
    </w:rPr>
  </w:style>
  <w:style w:type="paragraph" w:styleId="Footer">
    <w:name w:val="footer"/>
    <w:basedOn w:val="Normal"/>
    <w:link w:val="FooterChar"/>
    <w:uiPriority w:val="99"/>
    <w:unhideWhenUsed/>
    <w:rsid w:val="00946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0A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aa-acee.gc.ca/050/evaluations/Protection?&amp;culture=fr-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3" ma:contentTypeDescription="Create a new document." ma:contentTypeScope="" ma:versionID="683eafe9f556e3ac1588fd9e07426e07">
  <xsd:schema xmlns:xsd="http://www.w3.org/2001/XMLSchema" xmlns:xs="http://www.w3.org/2001/XMLSchema" xmlns:p="http://schemas.microsoft.com/office/2006/metadata/properties" xmlns:ns2="b9f2094f-3617-49e2-86e8-fd8a838c9b02" targetNamespace="http://schemas.microsoft.com/office/2006/metadata/properties" ma:root="true" ma:fieldsID="63ea51a47af677579282a96a8747e417" ns2:_="">
    <xsd:import namespace="b9f2094f-3617-49e2-86e8-fd8a838c9b02"/>
    <xsd:element name="properties">
      <xsd:complexType>
        <xsd:sequence>
          <xsd:element name="documentManagement">
            <xsd:complexType>
              <xsd:all>
                <xsd:element ref="ns2:MediaServiceMetadata" minOccurs="0"/>
                <xsd:element ref="ns2:MediaServiceFastMetadata" minOccurs="0"/>
                <xsd:element ref="ns2:CompletionDateGo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27A7-0DDF-499F-8962-60EC103A2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2EF2B-61AF-4388-986A-F89C75D9E04B}">
  <ds:schemaRefs>
    <ds:schemaRef ds:uri="http://schemas.microsoft.com/office/2006/metadata/properties"/>
    <ds:schemaRef ds:uri="http://schemas.microsoft.com/office/infopath/2007/PartnerControls"/>
    <ds:schemaRef ds:uri="b9f2094f-3617-49e2-86e8-fd8a838c9b02"/>
  </ds:schemaRefs>
</ds:datastoreItem>
</file>

<file path=customXml/itemProps3.xml><?xml version="1.0" encoding="utf-8"?>
<ds:datastoreItem xmlns:ds="http://schemas.openxmlformats.org/officeDocument/2006/customXml" ds:itemID="{7FBCA0CE-DDDD-496B-8286-8BEEF2473C18}">
  <ds:schemaRefs>
    <ds:schemaRef ds:uri="http://schemas.microsoft.com/sharepoint/v3/contenttype/forms"/>
  </ds:schemaRefs>
</ds:datastoreItem>
</file>

<file path=customXml/itemProps4.xml><?xml version="1.0" encoding="utf-8"?>
<ds:datastoreItem xmlns:ds="http://schemas.openxmlformats.org/officeDocument/2006/customXml" ds:itemID="{049F62A6-68F4-463D-9458-EE5C01F1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DFO-MPO</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4</cp:revision>
  <dcterms:created xsi:type="dcterms:W3CDTF">2022-12-12T20:13:00Z</dcterms:created>
  <dcterms:modified xsi:type="dcterms:W3CDTF">2022-12-13T23:01:00Z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y fmtid="{D5CDD505-2E9C-101B-9397-08002B2CF9AE}" pid="9" name="_NewReviewCycle">
    <vt:lpwstr/>
  </property>
</Properties>
</file>