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CD0F9" w14:textId="77777777" w:rsidR="009A01AF" w:rsidRPr="00D16CEC" w:rsidRDefault="004028D8" w:rsidP="0034497E">
      <w:pPr>
        <w:pStyle w:val="Heading1"/>
        <w:rPr>
          <w:sz w:val="28"/>
          <w:szCs w:val="28"/>
          <w:lang w:val="fr-CA"/>
        </w:rPr>
      </w:pPr>
      <w:bookmarkStart w:id="0" w:name="_Toc13819789"/>
      <w:bookmarkStart w:id="1" w:name="_Toc13823191"/>
      <w:bookmarkStart w:id="2" w:name="_Toc14963752"/>
      <w:bookmarkStart w:id="3" w:name="_Toc14966150"/>
      <w:bookmarkStart w:id="4" w:name="_Toc14966199"/>
      <w:bookmarkStart w:id="5" w:name="_Toc15075289"/>
      <w:r w:rsidRPr="00D16CEC">
        <w:rPr>
          <w:sz w:val="28"/>
          <w:szCs w:val="28"/>
          <w:lang w:val="fr-CA"/>
        </w:rPr>
        <w:t>Avis public</w:t>
      </w:r>
      <w:bookmarkEnd w:id="0"/>
      <w:bookmarkEnd w:id="1"/>
      <w:bookmarkEnd w:id="2"/>
      <w:bookmarkEnd w:id="3"/>
      <w:bookmarkEnd w:id="4"/>
      <w:bookmarkEnd w:id="5"/>
    </w:p>
    <w:p w14:paraId="59D79B6E" w14:textId="63253A81" w:rsidR="004D227A" w:rsidRPr="00D16CEC" w:rsidRDefault="004D227A" w:rsidP="004D227A">
      <w:pPr>
        <w:pStyle w:val="Heading1"/>
        <w:rPr>
          <w:rFonts w:asciiTheme="minorHAnsi" w:eastAsiaTheme="minorHAnsi" w:hAnsiTheme="minorHAnsi" w:cstheme="minorBidi"/>
          <w:color w:val="auto"/>
          <w:sz w:val="20"/>
          <w:szCs w:val="20"/>
          <w:lang w:val="fr-CA"/>
        </w:rPr>
      </w:pPr>
      <w:bookmarkStart w:id="6" w:name="_Toc13819790"/>
      <w:bookmarkStart w:id="7" w:name="_Toc13823192"/>
      <w:bookmarkStart w:id="8" w:name="_Toc14963753"/>
      <w:bookmarkStart w:id="9" w:name="_Toc14966151"/>
      <w:bookmarkStart w:id="10" w:name="_Toc14966200"/>
      <w:bookmarkStart w:id="11" w:name="_Toc15075290"/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Centre d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entreprise scientifique du Pacifique – Remplacement des prises d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eau de mer</w:t>
      </w:r>
    </w:p>
    <w:p w14:paraId="335C7BEF" w14:textId="77777777" w:rsidR="007D00B7" w:rsidRPr="00D16CEC" w:rsidRDefault="007D00B7" w:rsidP="007D00B7">
      <w:pPr>
        <w:pStyle w:val="Heading1"/>
        <w:spacing w:before="0" w:line="240" w:lineRule="auto"/>
        <w:rPr>
          <w:sz w:val="28"/>
          <w:szCs w:val="28"/>
          <w:lang w:val="fr-CA"/>
        </w:rPr>
      </w:pPr>
    </w:p>
    <w:p w14:paraId="2F623628" w14:textId="63F46F3E" w:rsidR="004028D8" w:rsidRPr="00D16CEC" w:rsidRDefault="004028D8" w:rsidP="007D00B7">
      <w:pPr>
        <w:pStyle w:val="Heading1"/>
        <w:spacing w:before="0" w:line="240" w:lineRule="auto"/>
        <w:rPr>
          <w:sz w:val="28"/>
          <w:szCs w:val="28"/>
          <w:lang w:val="fr-CA"/>
        </w:rPr>
      </w:pPr>
      <w:r w:rsidRPr="00D16CEC">
        <w:rPr>
          <w:sz w:val="28"/>
          <w:szCs w:val="28"/>
          <w:lang w:val="fr-CA"/>
        </w:rPr>
        <w:t>Sollicitation des commentaires du public</w:t>
      </w:r>
      <w:bookmarkEnd w:id="6"/>
      <w:bookmarkEnd w:id="7"/>
      <w:bookmarkEnd w:id="8"/>
      <w:bookmarkEnd w:id="9"/>
      <w:bookmarkEnd w:id="10"/>
      <w:bookmarkEnd w:id="11"/>
    </w:p>
    <w:p w14:paraId="13B8293A" w14:textId="77777777" w:rsidR="007D00B7" w:rsidRPr="00D16CEC" w:rsidRDefault="007D00B7" w:rsidP="007D00B7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fr-CA"/>
        </w:rPr>
      </w:pPr>
    </w:p>
    <w:p w14:paraId="7A711633" w14:textId="77A63489" w:rsidR="007D00B7" w:rsidRPr="00D16CEC" w:rsidRDefault="00CC49BF" w:rsidP="007D00B7">
      <w:pPr>
        <w:spacing w:after="0" w:line="360" w:lineRule="auto"/>
        <w:rPr>
          <w:rFonts w:asciiTheme="minorHAnsi" w:hAnsiTheme="minorHAnsi" w:cstheme="minorBidi"/>
          <w:b/>
          <w:sz w:val="20"/>
          <w:szCs w:val="20"/>
          <w:lang w:val="fr-CA"/>
        </w:rPr>
      </w:pPr>
      <w:r w:rsidRPr="00CC49BF">
        <w:rPr>
          <w:rFonts w:asciiTheme="minorHAnsi" w:hAnsiTheme="minorHAnsi"/>
          <w:b/>
          <w:sz w:val="20"/>
          <w:szCs w:val="20"/>
          <w:lang w:val="fr-CA"/>
        </w:rPr>
        <w:t>6 octobre</w:t>
      </w:r>
      <w:r>
        <w:rPr>
          <w:rFonts w:asciiTheme="minorHAnsi" w:hAnsiTheme="minorHAnsi"/>
          <w:b/>
          <w:sz w:val="20"/>
          <w:szCs w:val="20"/>
          <w:lang w:val="fr-CA"/>
        </w:rPr>
        <w:t xml:space="preserve"> </w:t>
      </w:r>
      <w:r w:rsidR="007D00B7" w:rsidRPr="00D16CEC">
        <w:rPr>
          <w:rFonts w:asciiTheme="minorHAnsi" w:hAnsiTheme="minorHAnsi"/>
          <w:b/>
          <w:sz w:val="20"/>
          <w:szCs w:val="20"/>
          <w:lang w:val="fr-CA"/>
        </w:rPr>
        <w:t>2022</w:t>
      </w:r>
      <w:r w:rsidR="007D00B7" w:rsidRPr="00D16CEC">
        <w:rPr>
          <w:rFonts w:asciiTheme="minorHAnsi" w:hAnsiTheme="minorHAnsi"/>
          <w:sz w:val="20"/>
          <w:szCs w:val="20"/>
          <w:lang w:val="fr-CA"/>
        </w:rPr>
        <w:t xml:space="preserve"> </w:t>
      </w:r>
      <w:r w:rsidR="001639D9">
        <w:rPr>
          <w:rFonts w:asciiTheme="minorHAnsi" w:hAnsiTheme="minorHAnsi"/>
          <w:sz w:val="20"/>
          <w:szCs w:val="20"/>
          <w:lang w:val="fr-CA"/>
        </w:rPr>
        <w:t>–</w:t>
      </w:r>
      <w:r w:rsidR="007D00B7" w:rsidRPr="00D16CEC">
        <w:rPr>
          <w:rFonts w:asciiTheme="minorHAnsi" w:hAnsiTheme="minorHAnsi"/>
          <w:sz w:val="20"/>
          <w:szCs w:val="20"/>
          <w:lang w:val="fr-CA"/>
        </w:rPr>
        <w:t xml:space="preserve"> Le ministère des Pêches et des Océans doit décider si le remplacement des prises d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="007D00B7" w:rsidRPr="00D16CEC">
        <w:rPr>
          <w:rFonts w:asciiTheme="minorHAnsi" w:hAnsiTheme="minorHAnsi"/>
          <w:sz w:val="20"/>
          <w:szCs w:val="20"/>
          <w:lang w:val="fr-CA"/>
        </w:rPr>
        <w:t>eau de mer, situé</w:t>
      </w:r>
      <w:r w:rsidR="00AE488E">
        <w:rPr>
          <w:rFonts w:asciiTheme="minorHAnsi" w:hAnsiTheme="minorHAnsi"/>
          <w:sz w:val="20"/>
          <w:szCs w:val="20"/>
          <w:lang w:val="fr-CA"/>
        </w:rPr>
        <w:t>es</w:t>
      </w:r>
      <w:r w:rsidR="007D00B7" w:rsidRPr="00D16CEC">
        <w:rPr>
          <w:rFonts w:asciiTheme="minorHAnsi" w:hAnsiTheme="minorHAnsi"/>
          <w:sz w:val="20"/>
          <w:szCs w:val="20"/>
          <w:lang w:val="fr-CA"/>
        </w:rPr>
        <w:t xml:space="preserve"> au Centre d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="007D00B7" w:rsidRPr="00D16CEC">
        <w:rPr>
          <w:rFonts w:asciiTheme="minorHAnsi" w:hAnsiTheme="minorHAnsi"/>
          <w:sz w:val="20"/>
          <w:szCs w:val="20"/>
          <w:lang w:val="fr-CA"/>
        </w:rPr>
        <w:t xml:space="preserve">entreprise scientifique du Pacifique, est susceptible de causer des effets négatifs importants. </w:t>
      </w:r>
    </w:p>
    <w:p w14:paraId="0A3CC660" w14:textId="77777777" w:rsidR="007D00B7" w:rsidRPr="00D16CEC" w:rsidRDefault="007D00B7" w:rsidP="007D00B7">
      <w:pPr>
        <w:spacing w:after="0" w:line="360" w:lineRule="auto"/>
        <w:rPr>
          <w:rFonts w:asciiTheme="minorHAnsi" w:hAnsiTheme="minorHAnsi" w:cstheme="minorBidi"/>
          <w:b/>
          <w:sz w:val="20"/>
          <w:szCs w:val="20"/>
          <w:lang w:val="fr-CA"/>
        </w:rPr>
      </w:pPr>
    </w:p>
    <w:p w14:paraId="393537C4" w14:textId="7EC03B97" w:rsidR="004028D8" w:rsidRDefault="004028D8" w:rsidP="007D00B7">
      <w:pPr>
        <w:spacing w:after="0" w:line="360" w:lineRule="auto"/>
        <w:rPr>
          <w:rFonts w:asciiTheme="minorHAnsi" w:hAnsiTheme="minorHAnsi" w:cstheme="minorHAnsi"/>
          <w:sz w:val="20"/>
          <w:szCs w:val="20"/>
          <w:lang w:val="fr-CA"/>
        </w:rPr>
      </w:pPr>
      <w:r w:rsidRPr="00D16CEC">
        <w:rPr>
          <w:rFonts w:asciiTheme="minorHAnsi" w:hAnsiTheme="minorHAnsi"/>
          <w:sz w:val="20"/>
          <w:szCs w:val="20"/>
          <w:lang w:val="fr-CA"/>
        </w:rPr>
        <w:t>Afin de contribuer à une prise de décision éclairée, Pêches et Océans Canada sollicite les commentaires du public sur le projet et ses effets éventuels sur l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environnement. Tous les commentaires reçus seront considérés comme des renseignements publics</w:t>
      </w:r>
      <w:r w:rsidRPr="00AE488E">
        <w:rPr>
          <w:rFonts w:asciiTheme="minorHAnsi" w:hAnsiTheme="minorHAnsi" w:cstheme="minorHAnsi"/>
          <w:sz w:val="20"/>
          <w:szCs w:val="20"/>
          <w:lang w:val="fr-CA"/>
        </w:rPr>
        <w:t>. Pour obtenir de plus amples renseignements, les personnes devraient consulter l</w:t>
      </w:r>
      <w:r w:rsidR="00D16CEC" w:rsidRPr="00AE488E">
        <w:rPr>
          <w:rFonts w:asciiTheme="minorHAnsi" w:hAnsiTheme="minorHAnsi" w:cstheme="minorHAnsi"/>
          <w:sz w:val="20"/>
          <w:szCs w:val="20"/>
          <w:lang w:val="fr-CA"/>
        </w:rPr>
        <w:t>’</w:t>
      </w:r>
      <w:hyperlink r:id="rId6" w:history="1">
        <w:r w:rsidRPr="00AE488E">
          <w:rPr>
            <w:rStyle w:val="Hyperlink"/>
            <w:rFonts w:asciiTheme="minorHAnsi" w:hAnsiTheme="minorHAnsi" w:cstheme="minorHAnsi"/>
            <w:sz w:val="20"/>
            <w:szCs w:val="20"/>
            <w:lang w:val="fr-CA"/>
          </w:rPr>
          <w:t>avis de confidentialité</w:t>
        </w:r>
      </w:hyperlink>
      <w:r w:rsidRPr="00AE488E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="00AE488E">
        <w:rPr>
          <w:rFonts w:asciiTheme="minorHAnsi" w:hAnsiTheme="minorHAnsi" w:cstheme="minorHAnsi"/>
          <w:sz w:val="20"/>
          <w:szCs w:val="20"/>
          <w:lang w:val="fr-CA"/>
        </w:rPr>
        <w:t xml:space="preserve">publié </w:t>
      </w:r>
      <w:r w:rsidRPr="00AE488E">
        <w:rPr>
          <w:rFonts w:asciiTheme="minorHAnsi" w:hAnsiTheme="minorHAnsi" w:cstheme="minorHAnsi"/>
          <w:sz w:val="20"/>
          <w:szCs w:val="20"/>
          <w:lang w:val="fr-CA"/>
        </w:rPr>
        <w:t>sur le site Web du Registre.</w:t>
      </w:r>
    </w:p>
    <w:p w14:paraId="2FBB0306" w14:textId="77777777" w:rsidR="00CC49BF" w:rsidRPr="00AE488E" w:rsidRDefault="00CC49BF" w:rsidP="007D00B7">
      <w:pPr>
        <w:spacing w:after="0" w:line="360" w:lineRule="auto"/>
        <w:rPr>
          <w:rFonts w:asciiTheme="minorHAnsi" w:hAnsiTheme="minorHAnsi" w:cstheme="minorHAnsi"/>
          <w:b/>
          <w:sz w:val="20"/>
          <w:szCs w:val="20"/>
          <w:lang w:val="fr-CA"/>
        </w:rPr>
      </w:pPr>
    </w:p>
    <w:p w14:paraId="3680C26A" w14:textId="560AFE07" w:rsidR="00A275EF" w:rsidRPr="00AE488E" w:rsidRDefault="004028D8" w:rsidP="00A275EF">
      <w:pPr>
        <w:spacing w:after="0" w:line="360" w:lineRule="auto"/>
        <w:rPr>
          <w:rFonts w:asciiTheme="minorHAnsi" w:hAnsiTheme="minorHAnsi" w:cstheme="minorHAnsi"/>
          <w:sz w:val="20"/>
          <w:szCs w:val="20"/>
          <w:lang w:val="fr-CA"/>
        </w:rPr>
      </w:pPr>
      <w:r w:rsidRPr="00AE488E">
        <w:rPr>
          <w:rFonts w:asciiTheme="minorHAnsi" w:hAnsiTheme="minorHAnsi" w:cstheme="minorHAnsi"/>
          <w:sz w:val="20"/>
          <w:szCs w:val="20"/>
          <w:lang w:val="fr-CA"/>
        </w:rPr>
        <w:t>Les commentaires écrits doivent être soumis d</w:t>
      </w:r>
      <w:r w:rsidR="00D16CEC" w:rsidRPr="00AE488E">
        <w:rPr>
          <w:rFonts w:asciiTheme="minorHAnsi" w:hAnsiTheme="minorHAnsi" w:cstheme="minorHAnsi"/>
          <w:sz w:val="20"/>
          <w:szCs w:val="20"/>
          <w:lang w:val="fr-CA"/>
        </w:rPr>
        <w:t>’</w:t>
      </w:r>
      <w:r w:rsidRPr="00AE488E">
        <w:rPr>
          <w:rFonts w:asciiTheme="minorHAnsi" w:hAnsiTheme="minorHAnsi" w:cstheme="minorHAnsi"/>
          <w:sz w:val="20"/>
          <w:szCs w:val="20"/>
          <w:lang w:val="fr-CA"/>
        </w:rPr>
        <w:t xml:space="preserve">ici le </w:t>
      </w:r>
      <w:r w:rsidR="00CC49BF" w:rsidRPr="00CC49BF">
        <w:rPr>
          <w:rFonts w:asciiTheme="minorHAnsi" w:hAnsiTheme="minorHAnsi" w:cstheme="minorHAnsi"/>
          <w:b/>
          <w:bCs/>
          <w:sz w:val="20"/>
          <w:szCs w:val="20"/>
          <w:lang w:val="fr-CA"/>
        </w:rPr>
        <w:t>6 novembre</w:t>
      </w:r>
      <w:r w:rsidR="00CC49BF">
        <w:rPr>
          <w:rFonts w:asciiTheme="minorHAnsi" w:hAnsiTheme="minorHAnsi" w:cstheme="minorHAnsi"/>
          <w:b/>
          <w:bCs/>
          <w:sz w:val="20"/>
          <w:szCs w:val="20"/>
          <w:lang w:val="fr-CA"/>
        </w:rPr>
        <w:t xml:space="preserve"> </w:t>
      </w:r>
      <w:r w:rsidRPr="00AE488E">
        <w:rPr>
          <w:rFonts w:asciiTheme="minorHAnsi" w:hAnsiTheme="minorHAnsi" w:cstheme="minorHAnsi"/>
          <w:sz w:val="20"/>
          <w:szCs w:val="20"/>
          <w:lang w:val="fr-CA"/>
        </w:rPr>
        <w:t>à :</w:t>
      </w:r>
    </w:p>
    <w:p w14:paraId="4DCDE825" w14:textId="77777777" w:rsidR="00A275EF" w:rsidRPr="00D16CEC" w:rsidRDefault="00A275EF" w:rsidP="00A275EF">
      <w:pPr>
        <w:spacing w:after="0" w:line="360" w:lineRule="auto"/>
        <w:rPr>
          <w:rFonts w:asciiTheme="minorHAnsi" w:hAnsiTheme="minorHAnsi" w:cstheme="minorHAnsi"/>
          <w:sz w:val="20"/>
          <w:szCs w:val="20"/>
          <w:lang w:val="fr-CA"/>
        </w:rPr>
      </w:pPr>
    </w:p>
    <w:p w14:paraId="3F83A219" w14:textId="14DEB8BA" w:rsidR="00A275EF" w:rsidRPr="00D16CEC" w:rsidRDefault="00A275EF" w:rsidP="00A275EF">
      <w:pPr>
        <w:spacing w:after="0" w:line="360" w:lineRule="auto"/>
        <w:rPr>
          <w:rFonts w:asciiTheme="minorHAnsi" w:hAnsiTheme="minorHAnsi" w:cstheme="minorHAnsi"/>
          <w:sz w:val="20"/>
          <w:szCs w:val="20"/>
          <w:lang w:val="fr-CA"/>
        </w:rPr>
      </w:pPr>
      <w:r w:rsidRPr="00D16CEC">
        <w:rPr>
          <w:rFonts w:asciiTheme="minorHAnsi" w:hAnsiTheme="minorHAnsi"/>
          <w:sz w:val="20"/>
          <w:szCs w:val="20"/>
          <w:lang w:val="fr-CA"/>
        </w:rPr>
        <w:t>Kevin</w:t>
      </w:r>
      <w:r w:rsidR="001639D9">
        <w:rPr>
          <w:rFonts w:asciiTheme="minorHAnsi" w:hAnsiTheme="minorHAnsi"/>
          <w:sz w:val="20"/>
          <w:szCs w:val="20"/>
          <w:lang w:val="fr-CA"/>
        </w:rPr>
        <w:t> </w:t>
      </w:r>
      <w:r w:rsidRPr="00D16CEC">
        <w:rPr>
          <w:rFonts w:asciiTheme="minorHAnsi" w:hAnsiTheme="minorHAnsi"/>
          <w:sz w:val="20"/>
          <w:szCs w:val="20"/>
          <w:lang w:val="fr-CA"/>
        </w:rPr>
        <w:t>Pate, ingénieur de projet, Gestion immobilière et soutien technique</w:t>
      </w:r>
    </w:p>
    <w:p w14:paraId="75717907" w14:textId="3269F4EA" w:rsidR="00A275EF" w:rsidRPr="00D16CEC" w:rsidRDefault="00CC49BF" w:rsidP="00A275EF">
      <w:pPr>
        <w:spacing w:after="0" w:line="360" w:lineRule="auto"/>
        <w:rPr>
          <w:rFonts w:asciiTheme="minorHAnsi" w:hAnsiTheme="minorHAnsi" w:cstheme="minorHAnsi"/>
          <w:sz w:val="20"/>
          <w:szCs w:val="20"/>
          <w:lang w:val="fr-CA"/>
        </w:rPr>
      </w:pPr>
      <w:hyperlink r:id="rId7" w:history="1">
        <w:r w:rsidR="008A225D" w:rsidRPr="00D16CEC">
          <w:rPr>
            <w:rStyle w:val="Hyperlink"/>
            <w:rFonts w:asciiTheme="minorHAnsi" w:hAnsiTheme="minorHAnsi"/>
            <w:sz w:val="20"/>
            <w:szCs w:val="20"/>
            <w:lang w:val="fr-CA"/>
          </w:rPr>
          <w:t>Kevin.Pate@dfo-mpo.gc.ca</w:t>
        </w:r>
      </w:hyperlink>
    </w:p>
    <w:p w14:paraId="38A5D524" w14:textId="1E6A184D" w:rsidR="00A275EF" w:rsidRPr="00D16CEC" w:rsidRDefault="00A275EF" w:rsidP="00A275EF">
      <w:pPr>
        <w:spacing w:after="0" w:line="360" w:lineRule="auto"/>
        <w:rPr>
          <w:rFonts w:asciiTheme="minorHAnsi" w:hAnsiTheme="minorHAnsi" w:cstheme="minorHAnsi"/>
          <w:sz w:val="20"/>
          <w:szCs w:val="20"/>
          <w:lang w:val="fr-CA"/>
        </w:rPr>
      </w:pPr>
      <w:r w:rsidRPr="00D16CEC">
        <w:rPr>
          <w:rFonts w:asciiTheme="minorHAnsi" w:hAnsiTheme="minorHAnsi"/>
          <w:sz w:val="20"/>
          <w:szCs w:val="20"/>
          <w:lang w:val="fr-CA"/>
        </w:rPr>
        <w:t xml:space="preserve">Pêches et Océans Canada, Services techniques des biens immobiliers, </w:t>
      </w:r>
      <w:r w:rsidR="00AE488E">
        <w:rPr>
          <w:rFonts w:asciiTheme="minorHAnsi" w:hAnsiTheme="minorHAnsi"/>
          <w:sz w:val="20"/>
          <w:szCs w:val="20"/>
          <w:lang w:val="fr-CA"/>
        </w:rPr>
        <w:t>r</w:t>
      </w:r>
      <w:r w:rsidRPr="00D16CEC">
        <w:rPr>
          <w:rFonts w:asciiTheme="minorHAnsi" w:hAnsiTheme="minorHAnsi"/>
          <w:sz w:val="20"/>
          <w:szCs w:val="20"/>
          <w:lang w:val="fr-CA"/>
        </w:rPr>
        <w:t>égion du Pacifique</w:t>
      </w:r>
    </w:p>
    <w:p w14:paraId="3252DB74" w14:textId="77777777" w:rsidR="00A275EF" w:rsidRPr="00D16CEC" w:rsidRDefault="00A275EF" w:rsidP="00A275EF">
      <w:pPr>
        <w:spacing w:after="0" w:line="360" w:lineRule="auto"/>
        <w:rPr>
          <w:rFonts w:asciiTheme="minorHAnsi" w:hAnsiTheme="minorHAnsi" w:cstheme="minorHAnsi"/>
          <w:sz w:val="20"/>
          <w:szCs w:val="20"/>
          <w:lang w:val="fr-CA"/>
        </w:rPr>
      </w:pPr>
      <w:r w:rsidRPr="00D16CEC">
        <w:rPr>
          <w:rFonts w:asciiTheme="minorHAnsi" w:hAnsiTheme="minorHAnsi"/>
          <w:sz w:val="20"/>
          <w:szCs w:val="20"/>
          <w:lang w:val="fr-CA"/>
        </w:rPr>
        <w:t>Tél. : 604-347-8430</w:t>
      </w:r>
    </w:p>
    <w:p w14:paraId="067EA76B" w14:textId="77777777" w:rsidR="00A275EF" w:rsidRPr="00D16CEC" w:rsidRDefault="00A275EF" w:rsidP="00A275EF">
      <w:pPr>
        <w:spacing w:after="0" w:line="360" w:lineRule="auto"/>
        <w:rPr>
          <w:rFonts w:asciiTheme="minorHAnsi" w:hAnsiTheme="minorHAnsi" w:cstheme="minorHAnsi"/>
          <w:sz w:val="20"/>
          <w:szCs w:val="20"/>
          <w:lang w:val="fr-CA"/>
        </w:rPr>
      </w:pPr>
    </w:p>
    <w:p w14:paraId="5430478C" w14:textId="6DCD3CC1" w:rsidR="00A275EF" w:rsidRPr="00D16CEC" w:rsidRDefault="00654894" w:rsidP="00A275EF">
      <w:pPr>
        <w:spacing w:after="0" w:line="360" w:lineRule="auto"/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  <w:lang w:val="fr-CA"/>
        </w:rPr>
      </w:pPr>
      <w:r w:rsidRPr="00D16CEC">
        <w:rPr>
          <w:rFonts w:asciiTheme="majorHAnsi" w:hAnsiTheme="majorHAnsi"/>
          <w:color w:val="2E74B5" w:themeColor="accent1" w:themeShade="BF"/>
          <w:sz w:val="28"/>
          <w:szCs w:val="20"/>
          <w:lang w:val="fr-CA"/>
        </w:rPr>
        <w:t>Sommaire de l</w:t>
      </w:r>
      <w:r w:rsidR="00D16CEC" w:rsidRPr="00D16CEC">
        <w:rPr>
          <w:rFonts w:asciiTheme="majorHAnsi" w:hAnsiTheme="majorHAnsi"/>
          <w:color w:val="2E74B5" w:themeColor="accent1" w:themeShade="BF"/>
          <w:sz w:val="28"/>
          <w:szCs w:val="20"/>
          <w:lang w:val="fr-CA"/>
        </w:rPr>
        <w:t>’</w:t>
      </w:r>
      <w:r w:rsidRPr="00D16CEC">
        <w:rPr>
          <w:rFonts w:asciiTheme="majorHAnsi" w:hAnsiTheme="majorHAnsi"/>
          <w:color w:val="2E74B5" w:themeColor="accent1" w:themeShade="BF"/>
          <w:sz w:val="28"/>
          <w:szCs w:val="20"/>
          <w:lang w:val="fr-CA"/>
        </w:rPr>
        <w:t>évaluation</w:t>
      </w:r>
    </w:p>
    <w:p w14:paraId="6B302E3B" w14:textId="59A84ED5" w:rsidR="00A275EF" w:rsidRPr="00D16CEC" w:rsidRDefault="00A275EF" w:rsidP="00A275EF">
      <w:pPr>
        <w:spacing w:after="0" w:line="360" w:lineRule="auto"/>
        <w:rPr>
          <w:rFonts w:asciiTheme="minorHAnsi" w:hAnsiTheme="minorHAnsi" w:cstheme="minorHAnsi"/>
          <w:sz w:val="20"/>
          <w:szCs w:val="20"/>
          <w:lang w:val="fr-CA"/>
        </w:rPr>
      </w:pPr>
      <w:r w:rsidRPr="00D16CEC">
        <w:rPr>
          <w:rFonts w:asciiTheme="minorHAnsi" w:hAnsiTheme="minorHAnsi"/>
          <w:sz w:val="20"/>
          <w:szCs w:val="20"/>
          <w:lang w:val="fr-CA"/>
        </w:rPr>
        <w:t>Les prises d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eau de mer existantes qui soutiennent le Centre d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entreprise scientifique du Pacifique du MPO doivent être remplacées pour faciliter le fonctionnement continu de l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installation de recherche scientifique conjointe fédérale et privée. Trois nouveaux tuyaux seront installés pour remplacer deux tuyaux existants de petit diamètre (250-315 mm) qui s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étendent sur environ 100 m au large d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un plan d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 xml:space="preserve">eau en tenure existant dans Burrard Inlet, à Vancouver Ouest. </w:t>
      </w:r>
    </w:p>
    <w:p w14:paraId="3C5B3CE0" w14:textId="77777777" w:rsidR="00A275EF" w:rsidRPr="00D16CEC" w:rsidRDefault="00A275EF" w:rsidP="00A275EF">
      <w:pPr>
        <w:spacing w:after="0" w:line="360" w:lineRule="auto"/>
        <w:rPr>
          <w:rFonts w:asciiTheme="minorHAnsi" w:hAnsiTheme="minorHAnsi" w:cstheme="minorHAnsi"/>
          <w:sz w:val="20"/>
          <w:szCs w:val="20"/>
          <w:lang w:val="fr-CA"/>
        </w:rPr>
      </w:pPr>
    </w:p>
    <w:p w14:paraId="28500A47" w14:textId="2219EBDA" w:rsidR="00A275EF" w:rsidRPr="00D16CEC" w:rsidRDefault="00A275EF" w:rsidP="00A275EF">
      <w:pPr>
        <w:spacing w:after="0" w:line="360" w:lineRule="auto"/>
        <w:rPr>
          <w:rFonts w:asciiTheme="minorHAnsi" w:hAnsiTheme="minorHAnsi" w:cstheme="minorHAnsi"/>
          <w:sz w:val="20"/>
          <w:szCs w:val="20"/>
          <w:lang w:val="fr-CA"/>
        </w:rPr>
      </w:pPr>
      <w:r w:rsidRPr="00D16CEC">
        <w:rPr>
          <w:rFonts w:asciiTheme="minorHAnsi" w:hAnsiTheme="minorHAnsi"/>
          <w:sz w:val="20"/>
          <w:szCs w:val="20"/>
          <w:lang w:val="fr-CA"/>
        </w:rPr>
        <w:t>Les retombées du projet comprennent le remplacement des biens gouvernementaux vieillissants ou inopérants, l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harmonisation des calendriers fédéraux de remplacement et d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entretien, l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optimisation du rendement de l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infrastructure et le soutien du fonctionnement continu de l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 xml:space="preserve">installation dans un avenir prévisible. </w:t>
      </w:r>
    </w:p>
    <w:p w14:paraId="20C65A6F" w14:textId="77777777" w:rsidR="00A275EF" w:rsidRPr="00D16CEC" w:rsidRDefault="00A275EF" w:rsidP="00A275EF">
      <w:pPr>
        <w:spacing w:after="0" w:line="360" w:lineRule="auto"/>
        <w:rPr>
          <w:rFonts w:asciiTheme="minorHAnsi" w:hAnsiTheme="minorHAnsi" w:cstheme="minorHAnsi"/>
          <w:sz w:val="20"/>
          <w:szCs w:val="20"/>
          <w:lang w:val="fr-CA"/>
        </w:rPr>
      </w:pPr>
    </w:p>
    <w:p w14:paraId="50A4512D" w14:textId="773CE0D2" w:rsidR="00A275EF" w:rsidRPr="00D16CEC" w:rsidRDefault="00A275EF" w:rsidP="00A275EF">
      <w:pPr>
        <w:spacing w:after="0" w:line="360" w:lineRule="auto"/>
        <w:rPr>
          <w:rFonts w:asciiTheme="minorHAnsi" w:hAnsiTheme="minorHAnsi" w:cstheme="minorHAnsi"/>
          <w:sz w:val="20"/>
          <w:szCs w:val="20"/>
          <w:lang w:val="fr-CA"/>
        </w:rPr>
      </w:pPr>
      <w:r w:rsidRPr="00D16CEC">
        <w:rPr>
          <w:rFonts w:asciiTheme="minorHAnsi" w:hAnsiTheme="minorHAnsi"/>
          <w:sz w:val="20"/>
          <w:szCs w:val="20"/>
          <w:lang w:val="fr-CA"/>
        </w:rPr>
        <w:t>Un résumé des activités de construction proposées pour les nouvelles prises d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eau est fourni ci-dessous :</w:t>
      </w:r>
    </w:p>
    <w:p w14:paraId="253C47D8" w14:textId="2A32A09D" w:rsidR="00A275EF" w:rsidRPr="00D16CEC" w:rsidRDefault="00192AB9" w:rsidP="00A275EF">
      <w:pPr>
        <w:spacing w:after="0" w:line="360" w:lineRule="auto"/>
        <w:rPr>
          <w:rFonts w:asciiTheme="minorHAnsi" w:hAnsiTheme="minorHAnsi" w:cstheme="minorHAnsi"/>
          <w:sz w:val="20"/>
          <w:szCs w:val="20"/>
          <w:lang w:val="fr-CA"/>
        </w:rPr>
      </w:pPr>
      <w:r w:rsidRPr="00D16CEC">
        <w:rPr>
          <w:rFonts w:asciiTheme="minorHAnsi" w:hAnsiTheme="minorHAnsi"/>
          <w:sz w:val="20"/>
          <w:szCs w:val="20"/>
          <w:lang w:val="fr-CA"/>
        </w:rPr>
        <w:t>•</w:t>
      </w:r>
      <w:r w:rsidRPr="00D16CEC">
        <w:rPr>
          <w:rFonts w:asciiTheme="minorHAnsi" w:hAnsiTheme="minorHAnsi"/>
          <w:sz w:val="20"/>
          <w:szCs w:val="20"/>
          <w:lang w:val="fr-CA"/>
        </w:rPr>
        <w:tab/>
        <w:t>Les trois tuyaux de prise d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eau de mer seront assemblés hors site et transportés par flottage jusqu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au site</w:t>
      </w:r>
      <w:r w:rsidR="00AE488E">
        <w:rPr>
          <w:rFonts w:asciiTheme="minorHAnsi" w:hAnsiTheme="minorHAnsi"/>
          <w:sz w:val="20"/>
          <w:szCs w:val="20"/>
          <w:lang w:val="fr-CA"/>
        </w:rPr>
        <w:t>;</w:t>
      </w:r>
      <w:r w:rsidRPr="00D16CEC">
        <w:rPr>
          <w:rFonts w:asciiTheme="minorHAnsi" w:hAnsiTheme="minorHAnsi"/>
          <w:sz w:val="20"/>
          <w:szCs w:val="20"/>
          <w:lang w:val="fr-CA"/>
        </w:rPr>
        <w:t xml:space="preserve"> </w:t>
      </w:r>
    </w:p>
    <w:p w14:paraId="4C374C33" w14:textId="3C9C648B" w:rsidR="00A275EF" w:rsidRPr="00D16CEC" w:rsidRDefault="00A275EF" w:rsidP="00A275EF">
      <w:pPr>
        <w:spacing w:after="0" w:line="360" w:lineRule="auto"/>
        <w:rPr>
          <w:rFonts w:asciiTheme="minorHAnsi" w:hAnsiTheme="minorHAnsi" w:cstheme="minorHAnsi"/>
          <w:sz w:val="20"/>
          <w:szCs w:val="20"/>
          <w:lang w:val="fr-CA"/>
        </w:rPr>
      </w:pPr>
      <w:r w:rsidRPr="00D16CEC">
        <w:rPr>
          <w:rFonts w:asciiTheme="minorHAnsi" w:hAnsiTheme="minorHAnsi"/>
          <w:sz w:val="20"/>
          <w:szCs w:val="20"/>
          <w:lang w:val="fr-CA"/>
        </w:rPr>
        <w:t>•</w:t>
      </w:r>
      <w:r w:rsidRPr="00D16CEC">
        <w:rPr>
          <w:rFonts w:asciiTheme="minorHAnsi" w:hAnsiTheme="minorHAnsi"/>
          <w:sz w:val="20"/>
          <w:szCs w:val="20"/>
          <w:lang w:val="fr-CA"/>
        </w:rPr>
        <w:tab/>
        <w:t>L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enrochement à la ligne des hautes eaux (LHE) sera te</w:t>
      </w:r>
      <w:bookmarkStart w:id="12" w:name="_GoBack"/>
      <w:bookmarkEnd w:id="12"/>
      <w:r w:rsidRPr="00D16CEC">
        <w:rPr>
          <w:rFonts w:asciiTheme="minorHAnsi" w:hAnsiTheme="minorHAnsi"/>
          <w:sz w:val="20"/>
          <w:szCs w:val="20"/>
          <w:lang w:val="fr-CA"/>
        </w:rPr>
        <w:t>mporairement enlevé à l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aide d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une excavatrice, stocké temporairement au-dessus de la LHE, puis replacé sur le tuyau après son installation</w:t>
      </w:r>
      <w:r w:rsidR="00AE488E">
        <w:rPr>
          <w:rFonts w:asciiTheme="minorHAnsi" w:hAnsiTheme="minorHAnsi"/>
          <w:sz w:val="20"/>
          <w:szCs w:val="20"/>
          <w:lang w:val="fr-CA"/>
        </w:rPr>
        <w:t>;</w:t>
      </w:r>
      <w:r w:rsidRPr="00D16CEC">
        <w:rPr>
          <w:rFonts w:asciiTheme="minorHAnsi" w:hAnsiTheme="minorHAnsi"/>
          <w:sz w:val="20"/>
          <w:szCs w:val="20"/>
          <w:lang w:val="fr-CA"/>
        </w:rPr>
        <w:t xml:space="preserve"> </w:t>
      </w:r>
    </w:p>
    <w:p w14:paraId="049341A7" w14:textId="1DB47B55" w:rsidR="00A275EF" w:rsidRPr="00D16CEC" w:rsidRDefault="00A275EF" w:rsidP="00A275EF">
      <w:pPr>
        <w:spacing w:after="0" w:line="360" w:lineRule="auto"/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  <w:lang w:val="fr-CA"/>
        </w:rPr>
      </w:pPr>
      <w:r w:rsidRPr="00D16CEC">
        <w:rPr>
          <w:rFonts w:asciiTheme="minorHAnsi" w:hAnsiTheme="minorHAnsi"/>
          <w:sz w:val="20"/>
          <w:szCs w:val="20"/>
          <w:lang w:val="fr-CA"/>
        </w:rPr>
        <w:t>•</w:t>
      </w:r>
      <w:r w:rsidRPr="00D16CEC">
        <w:rPr>
          <w:rFonts w:asciiTheme="minorHAnsi" w:hAnsiTheme="minorHAnsi"/>
          <w:sz w:val="20"/>
          <w:szCs w:val="20"/>
          <w:lang w:val="fr-CA"/>
        </w:rPr>
        <w:tab/>
        <w:t>Une tranchée sous le niveau existant sera creusée dans la zone intertidale. Le creusement des tranchées sera planifié par étapes afin de permettre l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excavation et l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 xml:space="preserve">enfouissement du tuyau à sec, à marée basse. Les </w:t>
      </w:r>
      <w:r w:rsidRPr="00D16CEC">
        <w:rPr>
          <w:rFonts w:asciiTheme="minorHAnsi" w:hAnsiTheme="minorHAnsi"/>
          <w:sz w:val="20"/>
          <w:szCs w:val="20"/>
          <w:lang w:val="fr-CA"/>
        </w:rPr>
        <w:lastRenderedPageBreak/>
        <w:t>matériaux de la plage seront retirés de la tranchée à l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aide d</w:t>
      </w:r>
      <w:r w:rsidR="00D16CEC" w:rsidRPr="00D16CEC">
        <w:rPr>
          <w:rFonts w:asciiTheme="minorHAnsi" w:hAnsiTheme="minorHAnsi"/>
          <w:sz w:val="20"/>
          <w:szCs w:val="20"/>
          <w:lang w:val="fr-CA"/>
        </w:rPr>
        <w:t>’</w:t>
      </w:r>
      <w:r w:rsidRPr="00D16CEC">
        <w:rPr>
          <w:rFonts w:asciiTheme="minorHAnsi" w:hAnsiTheme="minorHAnsi"/>
          <w:sz w:val="20"/>
          <w:szCs w:val="20"/>
          <w:lang w:val="fr-CA"/>
        </w:rPr>
        <w:t>une excavatrice et seront stockés temporairement à côté de la tranchée, en évitant les zones de végétation</w:t>
      </w:r>
      <w:r w:rsidR="00AE488E">
        <w:rPr>
          <w:rFonts w:asciiTheme="minorHAnsi" w:hAnsiTheme="minorHAnsi"/>
          <w:sz w:val="20"/>
          <w:szCs w:val="20"/>
          <w:lang w:val="fr-CA"/>
        </w:rPr>
        <w:t>;</w:t>
      </w:r>
      <w:r w:rsidRPr="00D16CEC">
        <w:rPr>
          <w:rFonts w:asciiTheme="minorHAnsi" w:hAnsiTheme="minorHAnsi"/>
          <w:sz w:val="20"/>
          <w:szCs w:val="20"/>
          <w:lang w:val="fr-CA"/>
        </w:rPr>
        <w:t xml:space="preserve"> </w:t>
      </w:r>
    </w:p>
    <w:p w14:paraId="204A4371" w14:textId="123663D1" w:rsidR="00A275EF" w:rsidRPr="00D16CEC" w:rsidRDefault="00A275EF" w:rsidP="00A275EF">
      <w:pPr>
        <w:pStyle w:val="Heading1"/>
        <w:rPr>
          <w:rFonts w:asciiTheme="minorHAnsi" w:eastAsiaTheme="minorHAnsi" w:hAnsiTheme="minorHAnsi" w:cstheme="minorHAnsi"/>
          <w:color w:val="auto"/>
          <w:sz w:val="20"/>
          <w:szCs w:val="20"/>
          <w:lang w:val="fr-CA"/>
        </w:rPr>
      </w:pP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•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ab/>
        <w:t>Les trois tuyaux de prise d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eau avec les poids de lestage associés seront positionnés (flottants) les uns à côté des autres au-dessus de l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alignement et immergés au fond de la mer, perpendiculairement au rivage, en inondant le tuyau avec de l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eau de mer, à l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aide d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une pompe équipée d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une prise d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eau grillagée</w:t>
      </w:r>
      <w:r w:rsidR="00AE488E">
        <w:rPr>
          <w:rFonts w:asciiTheme="minorHAnsi" w:hAnsiTheme="minorHAnsi"/>
          <w:color w:val="auto"/>
          <w:sz w:val="20"/>
          <w:szCs w:val="28"/>
          <w:lang w:val="fr-CA"/>
        </w:rPr>
        <w:t>;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 xml:space="preserve"> </w:t>
      </w:r>
    </w:p>
    <w:p w14:paraId="5C09FA20" w14:textId="7FFF8E80" w:rsidR="00A275EF" w:rsidRPr="00D16CEC" w:rsidRDefault="00A275EF" w:rsidP="00A275EF">
      <w:pPr>
        <w:pStyle w:val="Heading1"/>
        <w:rPr>
          <w:rFonts w:asciiTheme="minorHAnsi" w:eastAsiaTheme="minorHAnsi" w:hAnsiTheme="minorHAnsi" w:cstheme="minorHAnsi"/>
          <w:color w:val="auto"/>
          <w:sz w:val="20"/>
          <w:szCs w:val="20"/>
          <w:lang w:val="fr-CA"/>
        </w:rPr>
      </w:pP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•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ab/>
        <w:t>Les tuyaux de prise d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 xml:space="preserve">eau seront installés dans la tranchée excavée et les déblais seront utilisés pour les remblayer et </w:t>
      </w:r>
      <w:r w:rsidR="001639D9">
        <w:rPr>
          <w:rFonts w:asciiTheme="minorHAnsi" w:hAnsiTheme="minorHAnsi"/>
          <w:color w:val="auto"/>
          <w:sz w:val="20"/>
          <w:szCs w:val="28"/>
          <w:lang w:val="fr-CA"/>
        </w:rPr>
        <w:t xml:space="preserve">les 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enterrer</w:t>
      </w:r>
      <w:r w:rsidR="00AE488E">
        <w:rPr>
          <w:rFonts w:asciiTheme="minorHAnsi" w:hAnsiTheme="minorHAnsi"/>
          <w:color w:val="auto"/>
          <w:sz w:val="20"/>
          <w:szCs w:val="28"/>
          <w:lang w:val="fr-CA"/>
        </w:rPr>
        <w:t>;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 xml:space="preserve"> </w:t>
      </w:r>
    </w:p>
    <w:p w14:paraId="05CD80AF" w14:textId="1D88D771" w:rsidR="00A275EF" w:rsidRPr="00D16CEC" w:rsidRDefault="00A275EF" w:rsidP="00A275EF">
      <w:pPr>
        <w:pStyle w:val="Heading1"/>
        <w:rPr>
          <w:rFonts w:asciiTheme="minorHAnsi" w:eastAsiaTheme="minorHAnsi" w:hAnsiTheme="minorHAnsi" w:cstheme="minorHAnsi"/>
          <w:color w:val="auto"/>
          <w:sz w:val="20"/>
          <w:szCs w:val="20"/>
          <w:lang w:val="fr-CA"/>
        </w:rPr>
      </w:pP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•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ab/>
        <w:t>L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excavation d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une tranchée subtidale à partir de la basse mer inférieure sera effectuée à l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aide d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une excavatrice montée sur une barge, d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une drague à benne à demi coquille ou d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un système de dragage ou de forage au jet opéré par un plongeur</w:t>
      </w:r>
      <w:r w:rsidR="00AE488E">
        <w:rPr>
          <w:rFonts w:asciiTheme="minorHAnsi" w:hAnsiTheme="minorHAnsi"/>
          <w:color w:val="auto"/>
          <w:sz w:val="20"/>
          <w:szCs w:val="28"/>
          <w:lang w:val="fr-CA"/>
        </w:rPr>
        <w:t>.</w:t>
      </w:r>
    </w:p>
    <w:p w14:paraId="37CE71FF" w14:textId="19A2DC86" w:rsidR="00A275EF" w:rsidRPr="00D16CEC" w:rsidRDefault="00A275EF" w:rsidP="00A275EF">
      <w:pPr>
        <w:pStyle w:val="Heading1"/>
        <w:rPr>
          <w:rFonts w:asciiTheme="minorHAnsi" w:eastAsiaTheme="minorHAnsi" w:hAnsiTheme="minorHAnsi" w:cstheme="minorHAnsi"/>
          <w:color w:val="auto"/>
          <w:sz w:val="20"/>
          <w:szCs w:val="20"/>
          <w:lang w:val="fr-CA"/>
        </w:rPr>
      </w:pP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Pour réduire le plus possible la perturbation de l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habitat, il est proposé de retirer partiellement les tuyaux de prise d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eau existants pendant le processus de déclassement</w:t>
      </w:r>
      <w:r w:rsidR="00AE488E">
        <w:rPr>
          <w:rFonts w:asciiTheme="minorHAnsi" w:hAnsiTheme="minorHAnsi"/>
          <w:color w:val="auto"/>
          <w:sz w:val="20"/>
          <w:szCs w:val="28"/>
          <w:lang w:val="fr-CA"/>
        </w:rPr>
        <w:t>, ce qui comporterait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 xml:space="preserve"> l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excision de sections non enterrées des tuyaux existants. Le résumé du processus est décrit ci-dessous :</w:t>
      </w:r>
    </w:p>
    <w:p w14:paraId="05F814DD" w14:textId="548BD8FD" w:rsidR="00A275EF" w:rsidRPr="00D16CEC" w:rsidRDefault="00A275EF" w:rsidP="00A275EF">
      <w:pPr>
        <w:pStyle w:val="Heading1"/>
        <w:rPr>
          <w:rFonts w:asciiTheme="minorHAnsi" w:eastAsiaTheme="minorHAnsi" w:hAnsiTheme="minorHAnsi" w:cstheme="minorHAnsi"/>
          <w:color w:val="auto"/>
          <w:sz w:val="20"/>
          <w:szCs w:val="20"/>
          <w:lang w:val="fr-CA"/>
        </w:rPr>
      </w:pP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•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ab/>
        <w:t>Les plongeurs localiseront l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endroit où les anciens tuyaux sortent du fond marin, attacheront une sangle de levage, couperont l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ancien tuyau et le retireront du site</w:t>
      </w:r>
      <w:r w:rsidR="00AE488E">
        <w:rPr>
          <w:rFonts w:asciiTheme="minorHAnsi" w:hAnsiTheme="minorHAnsi"/>
          <w:color w:val="auto"/>
          <w:sz w:val="20"/>
          <w:szCs w:val="28"/>
          <w:lang w:val="fr-CA"/>
        </w:rPr>
        <w:t>;</w:t>
      </w:r>
    </w:p>
    <w:p w14:paraId="194511DE" w14:textId="75854A03" w:rsidR="00A275EF" w:rsidRPr="00D16CEC" w:rsidRDefault="00A275EF" w:rsidP="00A275EF">
      <w:pPr>
        <w:pStyle w:val="Heading1"/>
        <w:rPr>
          <w:rFonts w:asciiTheme="minorHAnsi" w:eastAsiaTheme="minorHAnsi" w:hAnsiTheme="minorHAnsi" w:cstheme="minorHAnsi"/>
          <w:color w:val="auto"/>
          <w:sz w:val="20"/>
          <w:szCs w:val="20"/>
          <w:lang w:val="fr-CA"/>
        </w:rPr>
      </w:pP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•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ab/>
        <w:t xml:space="preserve">La ou les parties restantes du tuyau qui sont enterrées </w:t>
      </w:r>
      <w:r w:rsidR="00AE488E">
        <w:rPr>
          <w:rFonts w:asciiTheme="minorHAnsi" w:hAnsiTheme="minorHAnsi"/>
          <w:color w:val="auto"/>
          <w:sz w:val="20"/>
          <w:szCs w:val="28"/>
          <w:lang w:val="fr-CA"/>
        </w:rPr>
        <w:t>pourront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 xml:space="preserve"> être recouvertes et laissées en place. </w:t>
      </w:r>
    </w:p>
    <w:p w14:paraId="09CB323E" w14:textId="4A0A5139" w:rsidR="00A275EF" w:rsidRPr="00D16CEC" w:rsidRDefault="00A275EF" w:rsidP="00A275EF">
      <w:pPr>
        <w:pStyle w:val="Heading1"/>
        <w:rPr>
          <w:rFonts w:asciiTheme="minorHAnsi" w:eastAsiaTheme="minorHAnsi" w:hAnsiTheme="minorHAnsi" w:cstheme="minorHAnsi"/>
          <w:color w:val="auto"/>
          <w:sz w:val="20"/>
          <w:szCs w:val="20"/>
          <w:lang w:val="fr-CA"/>
        </w:rPr>
      </w:pP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On prévoit que les prises d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eau fonctionneront pendant environ 30 à 50 ans, après quoi elles seront améliorées, déclassées, abandonnées, remplacées ou enlevées. Aucune expansion n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est prévue au cours de la durée de vie de l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infrastructure.</w:t>
      </w:r>
    </w:p>
    <w:p w14:paraId="59268C92" w14:textId="7350634A" w:rsidR="00A275EF" w:rsidRPr="00D16CEC" w:rsidRDefault="00A275EF" w:rsidP="00A275EF">
      <w:pPr>
        <w:pStyle w:val="Heading1"/>
        <w:rPr>
          <w:rFonts w:asciiTheme="minorHAnsi" w:eastAsiaTheme="minorHAnsi" w:hAnsiTheme="minorHAnsi" w:cstheme="minorHAnsi"/>
          <w:color w:val="auto"/>
          <w:sz w:val="20"/>
          <w:szCs w:val="20"/>
          <w:lang w:val="fr-CA"/>
        </w:rPr>
      </w:pP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Un contrôleur environnemental qualifié sera présent sur le site selon les besoins pour évaluer les risques pour l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environnement et contrôler l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efficacité des mesures d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 xml:space="preserve">atténuation mises en œuvre pendant les travaux de construction. </w:t>
      </w:r>
    </w:p>
    <w:p w14:paraId="0A46CD81" w14:textId="77777777" w:rsidR="00A275EF" w:rsidRPr="00D16CEC" w:rsidRDefault="00A275EF" w:rsidP="00A275EF">
      <w:pPr>
        <w:pStyle w:val="Heading1"/>
        <w:rPr>
          <w:rFonts w:asciiTheme="minorHAnsi" w:eastAsiaTheme="minorHAnsi" w:hAnsiTheme="minorHAnsi" w:cstheme="minorHAnsi"/>
          <w:color w:val="auto"/>
          <w:sz w:val="20"/>
          <w:szCs w:val="20"/>
          <w:lang w:val="fr-CA"/>
        </w:rPr>
      </w:pPr>
    </w:p>
    <w:p w14:paraId="2C5BCF63" w14:textId="15553CBA" w:rsidR="007D00B7" w:rsidRPr="00D16CEC" w:rsidRDefault="004028D8" w:rsidP="00A275EF">
      <w:pPr>
        <w:pStyle w:val="Heading1"/>
        <w:rPr>
          <w:sz w:val="28"/>
          <w:szCs w:val="28"/>
          <w:lang w:val="fr-CA"/>
        </w:rPr>
      </w:pPr>
      <w:r w:rsidRPr="00D16CEC">
        <w:rPr>
          <w:sz w:val="28"/>
          <w:szCs w:val="28"/>
          <w:lang w:val="fr-CA"/>
        </w:rPr>
        <w:t>Emplacement du projet</w:t>
      </w:r>
      <w:bookmarkStart w:id="13" w:name="_Toc16780055"/>
    </w:p>
    <w:p w14:paraId="59DE5D69" w14:textId="298EC4FD" w:rsidR="00A275EF" w:rsidRPr="00D16CEC" w:rsidRDefault="00A275EF" w:rsidP="00A275EF">
      <w:pPr>
        <w:pStyle w:val="Heading1"/>
        <w:rPr>
          <w:rFonts w:asciiTheme="minorHAnsi" w:eastAsiaTheme="minorHAnsi" w:hAnsiTheme="minorHAnsi" w:cstheme="minorBidi"/>
          <w:color w:val="auto"/>
          <w:sz w:val="20"/>
          <w:szCs w:val="20"/>
          <w:lang w:val="fr-CA"/>
        </w:rPr>
      </w:pP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Le Centre d</w:t>
      </w:r>
      <w:r w:rsidR="00D16CEC" w:rsidRPr="00D16CEC">
        <w:rPr>
          <w:rFonts w:asciiTheme="minorHAnsi" w:hAnsiTheme="minorHAnsi"/>
          <w:color w:val="auto"/>
          <w:sz w:val="20"/>
          <w:szCs w:val="28"/>
          <w:lang w:val="fr-CA"/>
        </w:rPr>
        <w:t>’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 xml:space="preserve">entreprise scientifique du Pacifique est une installation du ministère des Pêches et des Océans située sur </w:t>
      </w:r>
      <w:r w:rsidR="00AE488E">
        <w:rPr>
          <w:rFonts w:asciiTheme="minorHAnsi" w:hAnsiTheme="minorHAnsi"/>
          <w:color w:val="auto"/>
          <w:sz w:val="20"/>
          <w:szCs w:val="28"/>
          <w:lang w:val="fr-CA"/>
        </w:rPr>
        <w:t xml:space="preserve">la promenade 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Marine à Vancouver</w:t>
      </w:r>
      <w:r w:rsidR="00AE488E">
        <w:rPr>
          <w:rFonts w:asciiTheme="minorHAnsi" w:hAnsiTheme="minorHAnsi"/>
          <w:color w:val="auto"/>
          <w:sz w:val="20"/>
          <w:szCs w:val="28"/>
          <w:lang w:val="fr-CA"/>
        </w:rPr>
        <w:t xml:space="preserve"> Ouest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 xml:space="preserve">. </w:t>
      </w:r>
    </w:p>
    <w:p w14:paraId="42B2752A" w14:textId="77777777" w:rsidR="00A275EF" w:rsidRPr="00D16CEC" w:rsidRDefault="00A275EF" w:rsidP="00A275EF">
      <w:pPr>
        <w:pStyle w:val="Heading1"/>
        <w:rPr>
          <w:rFonts w:asciiTheme="minorHAnsi" w:eastAsiaTheme="minorHAnsi" w:hAnsiTheme="minorHAnsi" w:cstheme="minorBidi"/>
          <w:color w:val="auto"/>
          <w:sz w:val="20"/>
          <w:szCs w:val="20"/>
          <w:lang w:val="fr-CA"/>
        </w:rPr>
      </w:pP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 xml:space="preserve">Coordonnées :     </w:t>
      </w:r>
    </w:p>
    <w:p w14:paraId="534594F0" w14:textId="25F0C622" w:rsidR="00A275EF" w:rsidRPr="00D16CEC" w:rsidRDefault="00A275EF" w:rsidP="00A275EF">
      <w:pPr>
        <w:pStyle w:val="Heading1"/>
        <w:rPr>
          <w:rFonts w:asciiTheme="minorHAnsi" w:eastAsiaTheme="minorHAnsi" w:hAnsiTheme="minorHAnsi" w:cstheme="minorBidi"/>
          <w:color w:val="auto"/>
          <w:sz w:val="20"/>
          <w:szCs w:val="20"/>
          <w:lang w:val="fr-CA"/>
        </w:rPr>
      </w:pP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Latitude : 49°</w:t>
      </w:r>
      <w:r w:rsidR="001639D9">
        <w:rPr>
          <w:rFonts w:asciiTheme="minorHAnsi" w:hAnsiTheme="minorHAnsi"/>
          <w:color w:val="auto"/>
          <w:sz w:val="20"/>
          <w:szCs w:val="28"/>
          <w:lang w:val="fr-CA"/>
        </w:rPr>
        <w:t> 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20′ 29,2′′ N.</w:t>
      </w:r>
    </w:p>
    <w:p w14:paraId="2F6F9C5F" w14:textId="7F2F4791" w:rsidR="00A275EF" w:rsidRPr="00D16CEC" w:rsidRDefault="00A275EF" w:rsidP="00A275EF">
      <w:pPr>
        <w:pStyle w:val="Heading1"/>
        <w:rPr>
          <w:rFonts w:asciiTheme="minorHAnsi" w:eastAsiaTheme="minorHAnsi" w:hAnsiTheme="minorHAnsi" w:cstheme="minorBidi"/>
          <w:color w:val="auto"/>
          <w:sz w:val="20"/>
          <w:szCs w:val="20"/>
          <w:lang w:val="fr-CA"/>
        </w:rPr>
      </w:pP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Longitude : 123°</w:t>
      </w:r>
      <w:r w:rsidR="001639D9">
        <w:rPr>
          <w:rFonts w:asciiTheme="minorHAnsi" w:hAnsiTheme="minorHAnsi"/>
          <w:color w:val="auto"/>
          <w:sz w:val="20"/>
          <w:szCs w:val="28"/>
          <w:lang w:val="fr-CA"/>
        </w:rPr>
        <w:t> 14′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 xml:space="preserve"> 00</w:t>
      </w:r>
      <w:r w:rsidR="00353653">
        <w:rPr>
          <w:rFonts w:asciiTheme="minorHAnsi" w:hAnsiTheme="minorHAnsi"/>
          <w:color w:val="auto"/>
          <w:sz w:val="20"/>
          <w:szCs w:val="28"/>
          <w:lang w:val="fr-CA"/>
        </w:rPr>
        <w:t>,</w:t>
      </w:r>
      <w:r w:rsidRPr="00D16CEC">
        <w:rPr>
          <w:rFonts w:asciiTheme="minorHAnsi" w:hAnsiTheme="minorHAnsi"/>
          <w:color w:val="auto"/>
          <w:sz w:val="20"/>
          <w:szCs w:val="28"/>
          <w:lang w:val="fr-CA"/>
        </w:rPr>
        <w:t>9′′ O</w:t>
      </w:r>
    </w:p>
    <w:p w14:paraId="2021D577" w14:textId="77777777" w:rsidR="00F468C2" w:rsidRPr="00D16CEC" w:rsidRDefault="00F468C2" w:rsidP="00F468C2">
      <w:pPr>
        <w:pStyle w:val="Heading1"/>
        <w:rPr>
          <w:rFonts w:asciiTheme="minorHAnsi" w:eastAsia="Times New Roman" w:hAnsiTheme="minorHAnsi" w:cstheme="minorHAnsi"/>
          <w:color w:val="000000"/>
          <w:sz w:val="20"/>
          <w:szCs w:val="20"/>
          <w:lang w:val="fr-CA" w:eastAsia="en-CA"/>
        </w:rPr>
      </w:pPr>
    </w:p>
    <w:p w14:paraId="4D06F7A4" w14:textId="77777777" w:rsidR="00F468C2" w:rsidRPr="00D16CEC" w:rsidRDefault="00F468C2" w:rsidP="00F468C2">
      <w:pPr>
        <w:pStyle w:val="Heading1"/>
        <w:rPr>
          <w:rFonts w:asciiTheme="minorHAnsi" w:eastAsia="Times New Roman" w:hAnsiTheme="minorHAnsi" w:cstheme="minorHAnsi"/>
          <w:color w:val="000000"/>
          <w:sz w:val="20"/>
          <w:szCs w:val="20"/>
          <w:lang w:val="fr-CA" w:eastAsia="en-CA"/>
        </w:rPr>
      </w:pPr>
    </w:p>
    <w:p w14:paraId="1F573E60" w14:textId="77777777" w:rsidR="00F468C2" w:rsidRPr="00D16CEC" w:rsidRDefault="00F468C2" w:rsidP="00F468C2">
      <w:pPr>
        <w:pStyle w:val="Heading1"/>
        <w:rPr>
          <w:rFonts w:asciiTheme="minorHAnsi" w:eastAsia="Times New Roman" w:hAnsiTheme="minorHAnsi" w:cstheme="minorHAnsi"/>
          <w:color w:val="000000"/>
          <w:sz w:val="20"/>
          <w:szCs w:val="20"/>
          <w:lang w:val="fr-CA" w:eastAsia="en-CA"/>
        </w:rPr>
      </w:pPr>
    </w:p>
    <w:p w14:paraId="71009CA6" w14:textId="77777777" w:rsidR="00F468C2" w:rsidRPr="00D16CEC" w:rsidRDefault="00F468C2" w:rsidP="00F468C2">
      <w:pPr>
        <w:pStyle w:val="Heading1"/>
        <w:rPr>
          <w:rFonts w:asciiTheme="minorHAnsi" w:eastAsia="Times New Roman" w:hAnsiTheme="minorHAnsi" w:cstheme="minorHAnsi"/>
          <w:color w:val="000000"/>
          <w:sz w:val="20"/>
          <w:szCs w:val="20"/>
          <w:lang w:val="fr-CA" w:eastAsia="en-CA"/>
        </w:rPr>
      </w:pPr>
    </w:p>
    <w:bookmarkEnd w:id="13"/>
    <w:p w14:paraId="3F8679DA" w14:textId="77777777" w:rsidR="00241798" w:rsidRPr="00D16CEC" w:rsidRDefault="00241798" w:rsidP="001E3CED">
      <w:pPr>
        <w:rPr>
          <w:rFonts w:asciiTheme="minorHAnsi" w:hAnsiTheme="minorHAnsi" w:cstheme="minorBidi"/>
          <w:sz w:val="20"/>
          <w:szCs w:val="20"/>
          <w:lang w:val="fr-CA"/>
        </w:rPr>
      </w:pPr>
    </w:p>
    <w:sectPr w:rsidR="00241798" w:rsidRPr="00D16CEC" w:rsidSect="00CC49BF">
      <w:pgSz w:w="12240" w:h="15840"/>
      <w:pgMar w:top="81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7E19B" w14:textId="77777777" w:rsidR="00FC3D2B" w:rsidRDefault="00FC3D2B" w:rsidP="001639D9">
      <w:pPr>
        <w:spacing w:after="0" w:line="240" w:lineRule="auto"/>
      </w:pPr>
      <w:r>
        <w:separator/>
      </w:r>
    </w:p>
  </w:endnote>
  <w:endnote w:type="continuationSeparator" w:id="0">
    <w:p w14:paraId="13734F58" w14:textId="77777777" w:rsidR="00FC3D2B" w:rsidRDefault="00FC3D2B" w:rsidP="0016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44074" w14:textId="77777777" w:rsidR="00FC3D2B" w:rsidRDefault="00FC3D2B" w:rsidP="001639D9">
      <w:pPr>
        <w:spacing w:after="0" w:line="240" w:lineRule="auto"/>
      </w:pPr>
      <w:r>
        <w:separator/>
      </w:r>
    </w:p>
  </w:footnote>
  <w:footnote w:type="continuationSeparator" w:id="0">
    <w:p w14:paraId="53FF33B2" w14:textId="77777777" w:rsidR="00FC3D2B" w:rsidRDefault="00FC3D2B" w:rsidP="00163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7A"/>
    <w:rsid w:val="00022FC8"/>
    <w:rsid w:val="00037543"/>
    <w:rsid w:val="000C4CE0"/>
    <w:rsid w:val="000E396E"/>
    <w:rsid w:val="000F43F7"/>
    <w:rsid w:val="001429A1"/>
    <w:rsid w:val="001639D9"/>
    <w:rsid w:val="00184F1C"/>
    <w:rsid w:val="00192AB9"/>
    <w:rsid w:val="001B5323"/>
    <w:rsid w:val="001E3CED"/>
    <w:rsid w:val="00210E06"/>
    <w:rsid w:val="00241798"/>
    <w:rsid w:val="00244203"/>
    <w:rsid w:val="002C54FE"/>
    <w:rsid w:val="002D0BC3"/>
    <w:rsid w:val="00337767"/>
    <w:rsid w:val="0034497E"/>
    <w:rsid w:val="00353653"/>
    <w:rsid w:val="00376E8F"/>
    <w:rsid w:val="00386C9C"/>
    <w:rsid w:val="004028D8"/>
    <w:rsid w:val="00452209"/>
    <w:rsid w:val="00461212"/>
    <w:rsid w:val="004A0E02"/>
    <w:rsid w:val="004C12FB"/>
    <w:rsid w:val="004D227A"/>
    <w:rsid w:val="005226E2"/>
    <w:rsid w:val="005454DB"/>
    <w:rsid w:val="00587E47"/>
    <w:rsid w:val="005E689E"/>
    <w:rsid w:val="005F3379"/>
    <w:rsid w:val="00605CEB"/>
    <w:rsid w:val="00644386"/>
    <w:rsid w:val="00654894"/>
    <w:rsid w:val="006978B4"/>
    <w:rsid w:val="00711279"/>
    <w:rsid w:val="00716015"/>
    <w:rsid w:val="007477ED"/>
    <w:rsid w:val="00777B19"/>
    <w:rsid w:val="007D00B7"/>
    <w:rsid w:val="008A225D"/>
    <w:rsid w:val="008B6DA0"/>
    <w:rsid w:val="00916C25"/>
    <w:rsid w:val="009404CA"/>
    <w:rsid w:val="00965F0F"/>
    <w:rsid w:val="0097387A"/>
    <w:rsid w:val="009A01AF"/>
    <w:rsid w:val="009B694C"/>
    <w:rsid w:val="00A23758"/>
    <w:rsid w:val="00A237B3"/>
    <w:rsid w:val="00A275EF"/>
    <w:rsid w:val="00AE488E"/>
    <w:rsid w:val="00B57DC1"/>
    <w:rsid w:val="00B91135"/>
    <w:rsid w:val="00BB61D7"/>
    <w:rsid w:val="00BC1FE5"/>
    <w:rsid w:val="00BC4DA6"/>
    <w:rsid w:val="00C6489B"/>
    <w:rsid w:val="00CA05F9"/>
    <w:rsid w:val="00CC49BF"/>
    <w:rsid w:val="00CC7053"/>
    <w:rsid w:val="00D16CEC"/>
    <w:rsid w:val="00DB0F77"/>
    <w:rsid w:val="00E408DC"/>
    <w:rsid w:val="00E558AE"/>
    <w:rsid w:val="00E642EF"/>
    <w:rsid w:val="00ED500C"/>
    <w:rsid w:val="00F468C2"/>
    <w:rsid w:val="00FA73E3"/>
    <w:rsid w:val="00FC3D2B"/>
    <w:rsid w:val="00FC52D4"/>
    <w:rsid w:val="00F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8F898"/>
  <w15:chartTrackingRefBased/>
  <w15:docId w15:val="{5EE27BD3-143B-4A0A-A314-97E2899B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7387A"/>
    <w:pPr>
      <w:spacing w:after="20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8D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87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28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DefaultParagraphFont"/>
    <w:rsid w:val="00BC1FE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E47"/>
    <w:rPr>
      <w:rFonts w:ascii="Segoe UI" w:hAnsi="Segoe UI" w:cs="Segoe UI"/>
      <w:sz w:val="18"/>
      <w:szCs w:val="18"/>
    </w:rPr>
  </w:style>
  <w:style w:type="paragraph" w:customStyle="1" w:styleId="LetterText">
    <w:name w:val="Letter Text"/>
    <w:basedOn w:val="Normal"/>
    <w:rsid w:val="00E558AE"/>
    <w:pPr>
      <w:spacing w:after="240" w:line="240" w:lineRule="auto"/>
      <w:jc w:val="both"/>
    </w:pPr>
    <w:rPr>
      <w:rFonts w:eastAsia="Times New Roman" w:cs="Times New Roman"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54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894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89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39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9D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39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9D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vin.Pate@dfo-mpo.gc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aa-acee.gc.ca/050/evaluations/Protection?&amp;culture=fr-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DFO-MPO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Connelly, Robin</dc:creator>
  <cp:keywords/>
  <dc:description/>
  <cp:lastModifiedBy>Cheung, Jacqueline</cp:lastModifiedBy>
  <cp:revision>5</cp:revision>
  <dcterms:created xsi:type="dcterms:W3CDTF">2022-08-30T12:17:00Z</dcterms:created>
  <dcterms:modified xsi:type="dcterms:W3CDTF">2022-10-06T03:41:00Z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2021-05-05T22:50:02Z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4307bf13-af5b-40cf-b251-000032023722</vt:lpwstr>
  </property>
  <property fmtid="{D5CDD505-2E9C-101B-9397-08002B2CF9AE}" pid="8" name="_NewReviewCycle">
    <vt:lpwstr/>
  </property>
</Properties>
</file>