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pPr>
      <w:r>
        <w:t>Avis public</w:t>
      </w:r>
    </w:p>
    <w:p w14:paraId="1B16382E" w14:textId="77777777" w:rsidR="00DC6688" w:rsidRPr="00AC446F" w:rsidRDefault="00DC6688" w:rsidP="00DC6688">
      <w:pPr>
        <w:pStyle w:val="Heading1"/>
        <w:rPr>
          <w:rFonts w:asciiTheme="minorHAnsi" w:eastAsiaTheme="minorHAnsi" w:hAnsiTheme="minorHAnsi" w:cstheme="minorBidi"/>
          <w:color w:val="auto"/>
          <w:sz w:val="22"/>
          <w:szCs w:val="22"/>
          <w:lang w:val="fr-FR"/>
        </w:rPr>
      </w:pPr>
      <w:r w:rsidRPr="00AC446F">
        <w:rPr>
          <w:rFonts w:asciiTheme="minorHAnsi" w:eastAsiaTheme="minorHAnsi" w:hAnsiTheme="minorHAnsi" w:cstheme="minorBidi"/>
          <w:color w:val="auto"/>
          <w:sz w:val="22"/>
          <w:szCs w:val="22"/>
          <w:lang w:val="fr-FR"/>
        </w:rPr>
        <w:t>Projet de modernisation de la fosse septique de Cultus Lake</w:t>
      </w:r>
    </w:p>
    <w:p w14:paraId="2F623628" w14:textId="7A55DA06" w:rsidR="004028D8" w:rsidRPr="00ED500C" w:rsidRDefault="004028D8" w:rsidP="00022FC8">
      <w:pPr>
        <w:pStyle w:val="Heading1"/>
      </w:pPr>
      <w:r>
        <w:t>Sollicitation des commentaires du public</w:t>
      </w:r>
    </w:p>
    <w:p w14:paraId="65C45D1E" w14:textId="01723B1E" w:rsidR="001E3CED" w:rsidRPr="00587E47" w:rsidRDefault="00CF11BE" w:rsidP="004028D8">
      <w:pPr>
        <w:rPr>
          <w:rFonts w:asciiTheme="minorHAnsi" w:hAnsiTheme="minorHAnsi" w:cstheme="minorBidi"/>
          <w:b/>
        </w:rPr>
      </w:pPr>
      <w:r>
        <w:rPr>
          <w:rFonts w:asciiTheme="minorHAnsi" w:hAnsiTheme="minorHAnsi"/>
          <w:b/>
        </w:rPr>
        <w:t>6</w:t>
      </w:r>
      <w:r w:rsidRPr="00225D4A">
        <w:rPr>
          <w:rFonts w:asciiTheme="minorHAnsi" w:hAnsiTheme="minorHAnsi"/>
          <w:b/>
        </w:rPr>
        <w:t xml:space="preserve"> mai </w:t>
      </w:r>
      <w:r w:rsidR="00225D4A" w:rsidRPr="004F255B">
        <w:rPr>
          <w:rFonts w:asciiTheme="minorHAnsi" w:hAnsiTheme="minorHAnsi"/>
          <w:b/>
        </w:rPr>
        <w:t>2022</w:t>
      </w:r>
      <w:r w:rsidR="00225D4A" w:rsidRPr="00225D4A">
        <w:rPr>
          <w:rFonts w:asciiTheme="minorHAnsi" w:hAnsiTheme="minorHAnsi"/>
        </w:rPr>
        <w:t xml:space="preserve"> </w:t>
      </w:r>
      <w:r w:rsidR="00654894">
        <w:rPr>
          <w:rFonts w:asciiTheme="minorHAnsi" w:hAnsiTheme="minorHAnsi"/>
        </w:rPr>
        <w:t xml:space="preserve">- Le ministère des Pêches et des Océans (MPO) doit décider si </w:t>
      </w:r>
      <w:r w:rsidR="00BB3194">
        <w:rPr>
          <w:rFonts w:asciiTheme="minorHAnsi" w:hAnsiTheme="minorHAnsi"/>
        </w:rPr>
        <w:t xml:space="preserve">le projet de modernisation de la fosse septique de Cultus Lake </w:t>
      </w:r>
      <w:r w:rsidR="00654894">
        <w:rPr>
          <w:rFonts w:asciiTheme="minorHAnsi" w:hAnsiTheme="minorHAnsi"/>
        </w:rPr>
        <w:t>situé</w:t>
      </w:r>
      <w:r w:rsidR="00BB3194">
        <w:rPr>
          <w:rFonts w:asciiTheme="minorHAnsi" w:hAnsiTheme="minorHAnsi"/>
        </w:rPr>
        <w:t xml:space="preserve"> à Cultus Lake</w:t>
      </w:r>
      <w:r w:rsidR="00654894">
        <w:rPr>
          <w:rFonts w:asciiTheme="minorHAnsi" w:hAnsiTheme="minorHAnsi"/>
        </w:rPr>
        <w:t>, en Colombie-Britannique, est susceptible de causer des effets négatifs importants.</w:t>
      </w:r>
    </w:p>
    <w:p w14:paraId="393537C4" w14:textId="1841AB2B" w:rsidR="004028D8" w:rsidRPr="006F35D1" w:rsidRDefault="004028D8" w:rsidP="004028D8">
      <w:pPr>
        <w:rPr>
          <w:rFonts w:asciiTheme="minorHAnsi" w:hAnsiTheme="minorHAnsi" w:cstheme="minorHAnsi"/>
        </w:rPr>
      </w:pPr>
      <w:r w:rsidRPr="006F35D1">
        <w:rPr>
          <w:rFonts w:asciiTheme="minorHAnsi" w:hAnsiTheme="minorHAnsi" w:cstheme="minorHAnsi"/>
        </w:rPr>
        <w:t>Afin de contribuer à une prise de décision éclairée, Pêches et Océans Canada sollicite les commentaires du public sur le projet et ses effets éventuels sur l</w:t>
      </w:r>
      <w:r w:rsidR="00AE18CA" w:rsidRPr="006F35D1">
        <w:rPr>
          <w:rFonts w:asciiTheme="minorHAnsi" w:hAnsiTheme="minorHAnsi" w:cstheme="minorHAnsi"/>
        </w:rPr>
        <w:t>’</w:t>
      </w:r>
      <w:r w:rsidRPr="006F35D1">
        <w:rPr>
          <w:rFonts w:asciiTheme="minorHAnsi" w:hAnsiTheme="minorHAnsi" w:cstheme="minorHAnsi"/>
        </w:rPr>
        <w:t>environnement. Tous les commentaires reçus seront considérés comme des renseignements publics. Pour de plus amples rens</w:t>
      </w:r>
      <w:bookmarkStart w:id="0" w:name="_GoBack"/>
      <w:bookmarkEnd w:id="0"/>
      <w:r w:rsidRPr="006F35D1">
        <w:rPr>
          <w:rFonts w:asciiTheme="minorHAnsi" w:hAnsiTheme="minorHAnsi" w:cstheme="minorHAnsi"/>
        </w:rPr>
        <w:t>eignements, les personnes sont invitées à consulter l</w:t>
      </w:r>
      <w:r w:rsidR="00AE18CA" w:rsidRPr="006F35D1">
        <w:rPr>
          <w:rFonts w:asciiTheme="minorHAnsi" w:hAnsiTheme="minorHAnsi" w:cstheme="minorHAnsi"/>
        </w:rPr>
        <w:t>’</w:t>
      </w:r>
      <w:hyperlink r:id="rId7" w:history="1">
        <w:r w:rsidRPr="006F35D1">
          <w:rPr>
            <w:rStyle w:val="Hyperlink"/>
            <w:rFonts w:asciiTheme="minorHAnsi" w:hAnsiTheme="minorHAnsi" w:cstheme="minorHAnsi"/>
          </w:rPr>
          <w:t>Avis de confidentialité</w:t>
        </w:r>
      </w:hyperlink>
      <w:r w:rsidRPr="006F35D1">
        <w:rPr>
          <w:rFonts w:asciiTheme="minorHAnsi" w:hAnsiTheme="minorHAnsi" w:cstheme="minorHAnsi"/>
        </w:rPr>
        <w:t xml:space="preserve"> sur le site Web du Registre.</w:t>
      </w:r>
    </w:p>
    <w:p w14:paraId="49A93B4F" w14:textId="7A825415" w:rsidR="001E3CED" w:rsidRDefault="004028D8" w:rsidP="001E3CED">
      <w:pPr>
        <w:rPr>
          <w:rFonts w:asciiTheme="minorHAnsi" w:hAnsiTheme="minorHAnsi" w:cstheme="minorHAnsi"/>
        </w:rPr>
      </w:pPr>
      <w:r>
        <w:rPr>
          <w:rFonts w:asciiTheme="minorHAnsi" w:hAnsiTheme="minorHAnsi"/>
        </w:rPr>
        <w:t>Les commentaires écrits doivent être soumis d</w:t>
      </w:r>
      <w:r w:rsidR="00AE18CA">
        <w:rPr>
          <w:rFonts w:asciiTheme="minorHAnsi" w:hAnsiTheme="minorHAnsi"/>
        </w:rPr>
        <w:t>’</w:t>
      </w:r>
      <w:r>
        <w:rPr>
          <w:rFonts w:asciiTheme="minorHAnsi" w:hAnsiTheme="minorHAnsi"/>
        </w:rPr>
        <w:t>ici le</w:t>
      </w:r>
      <w:r>
        <w:rPr>
          <w:rFonts w:asciiTheme="minorHAnsi" w:hAnsiTheme="minorHAnsi"/>
          <w:b/>
        </w:rPr>
        <w:t xml:space="preserve"> </w:t>
      </w:r>
      <w:r w:rsidR="00DC6688">
        <w:rPr>
          <w:rFonts w:asciiTheme="minorHAnsi" w:hAnsiTheme="minorHAnsi"/>
          <w:b/>
        </w:rPr>
        <w:t>6</w:t>
      </w:r>
      <w:r w:rsidR="00225D4A" w:rsidRPr="00225D4A">
        <w:rPr>
          <w:rFonts w:asciiTheme="minorHAnsi" w:hAnsiTheme="minorHAnsi"/>
          <w:b/>
        </w:rPr>
        <w:t xml:space="preserve"> </w:t>
      </w:r>
      <w:r w:rsidR="00CF11BE">
        <w:rPr>
          <w:rFonts w:asciiTheme="minorHAnsi" w:hAnsiTheme="minorHAnsi"/>
          <w:b/>
        </w:rPr>
        <w:t>juin</w:t>
      </w:r>
      <w:r w:rsidR="00225D4A" w:rsidRPr="00225D4A">
        <w:rPr>
          <w:rFonts w:asciiTheme="minorHAnsi" w:hAnsiTheme="minorHAnsi"/>
          <w:b/>
        </w:rPr>
        <w:t xml:space="preserve"> 2022 </w:t>
      </w:r>
      <w:r>
        <w:rPr>
          <w:rFonts w:asciiTheme="minorHAnsi" w:hAnsiTheme="minorHAnsi"/>
        </w:rPr>
        <w:t>à :</w:t>
      </w:r>
    </w:p>
    <w:p w14:paraId="61BBB506" w14:textId="77777777" w:rsidR="00225D4A" w:rsidRDefault="00225D4A" w:rsidP="001E3CED">
      <w:pPr>
        <w:rPr>
          <w:rFonts w:asciiTheme="minorHAnsi" w:hAnsiTheme="minorHAnsi"/>
        </w:rPr>
      </w:pPr>
      <w:r w:rsidRPr="00225D4A">
        <w:rPr>
          <w:rFonts w:asciiTheme="minorHAnsi" w:hAnsiTheme="minorHAnsi"/>
        </w:rPr>
        <w:t xml:space="preserve">Collin Gagne </w:t>
      </w:r>
    </w:p>
    <w:p w14:paraId="6AFDA7E7" w14:textId="593BAF2A" w:rsidR="001E3CED" w:rsidRDefault="001E3CED" w:rsidP="001E3CED">
      <w:pPr>
        <w:rPr>
          <w:rFonts w:asciiTheme="minorHAnsi" w:hAnsiTheme="minorHAnsi" w:cstheme="minorHAnsi"/>
        </w:rPr>
      </w:pPr>
      <w:r>
        <w:rPr>
          <w:rFonts w:asciiTheme="minorHAnsi" w:hAnsiTheme="minorHAnsi"/>
        </w:rPr>
        <w:t>Ingénieure de projets</w:t>
      </w:r>
    </w:p>
    <w:p w14:paraId="201F3BA3" w14:textId="77777777" w:rsidR="001E3CED" w:rsidRDefault="001E3CED" w:rsidP="001E3CED">
      <w:pPr>
        <w:rPr>
          <w:rFonts w:asciiTheme="minorHAnsi" w:hAnsiTheme="minorHAnsi" w:cstheme="minorHAnsi"/>
        </w:rPr>
      </w:pPr>
      <w:r>
        <w:rPr>
          <w:rFonts w:asciiTheme="minorHAnsi" w:hAnsiTheme="minorHAnsi"/>
        </w:rPr>
        <w:t>Pêches et Océans Canada, Région du Pacifique</w:t>
      </w:r>
    </w:p>
    <w:p w14:paraId="693F9349" w14:textId="77777777" w:rsidR="001E3CED" w:rsidRDefault="001E3CED" w:rsidP="001E3CED">
      <w:r>
        <w:rPr>
          <w:rFonts w:asciiTheme="minorHAnsi" w:hAnsiTheme="minorHAnsi"/>
        </w:rPr>
        <w:t>Biens immobiliers, protection et sécurité</w:t>
      </w:r>
      <w:r>
        <w:t xml:space="preserve"> </w:t>
      </w:r>
    </w:p>
    <w:p w14:paraId="470244C4" w14:textId="5B2332A8" w:rsidR="001E3CED" w:rsidRPr="001E3CED" w:rsidRDefault="001E3CED" w:rsidP="001E3CED">
      <w:pPr>
        <w:rPr>
          <w:rFonts w:asciiTheme="minorHAnsi" w:hAnsiTheme="minorHAnsi" w:cstheme="minorHAnsi"/>
        </w:rPr>
      </w:pPr>
      <w:r>
        <w:rPr>
          <w:rFonts w:asciiTheme="minorHAnsi" w:hAnsiTheme="minorHAnsi"/>
        </w:rPr>
        <w:t xml:space="preserve">Téléphone : </w:t>
      </w:r>
      <w:r w:rsidR="00225D4A" w:rsidRPr="00225D4A">
        <w:rPr>
          <w:rFonts w:asciiTheme="minorHAnsi" w:hAnsiTheme="minorHAnsi"/>
        </w:rPr>
        <w:t>(604) 649-6849</w:t>
      </w:r>
    </w:p>
    <w:p w14:paraId="3D14E699" w14:textId="17C95FA7" w:rsidR="001E3CED" w:rsidRDefault="001E3CED" w:rsidP="00DC6688">
      <w:pPr>
        <w:spacing w:after="0" w:line="240" w:lineRule="auto"/>
        <w:rPr>
          <w:rFonts w:asciiTheme="minorHAnsi" w:hAnsiTheme="minorHAnsi" w:cstheme="minorHAnsi"/>
        </w:rPr>
      </w:pPr>
      <w:r>
        <w:rPr>
          <w:rFonts w:asciiTheme="minorHAnsi" w:hAnsiTheme="minorHAnsi"/>
        </w:rPr>
        <w:lastRenderedPageBreak/>
        <w:t xml:space="preserve">Courriel : </w:t>
      </w:r>
      <w:r w:rsidR="00225D4A" w:rsidRPr="00225D4A">
        <w:rPr>
          <w:rFonts w:asciiTheme="minorHAnsi" w:hAnsiTheme="minorHAnsi"/>
        </w:rPr>
        <w:t>Collin.Gagne@dfo-mpo.gc.ca</w:t>
      </w:r>
    </w:p>
    <w:p w14:paraId="45911F18" w14:textId="77777777" w:rsidR="00DC6688" w:rsidRDefault="00DC6688" w:rsidP="00DC6688">
      <w:pPr>
        <w:pStyle w:val="Heading1"/>
        <w:spacing w:before="0" w:line="240" w:lineRule="auto"/>
      </w:pPr>
    </w:p>
    <w:p w14:paraId="4662EF08" w14:textId="77777777" w:rsidR="00DC6688" w:rsidRDefault="00DC6688" w:rsidP="00DC6688">
      <w:pPr>
        <w:pStyle w:val="Heading1"/>
        <w:spacing w:before="0" w:line="240" w:lineRule="auto"/>
      </w:pPr>
    </w:p>
    <w:p w14:paraId="65DF5BCA" w14:textId="6B62BFBF" w:rsidR="004028D8" w:rsidRDefault="00654894" w:rsidP="00DC6688">
      <w:pPr>
        <w:pStyle w:val="Heading1"/>
        <w:spacing w:before="0" w:line="240" w:lineRule="auto"/>
      </w:pPr>
      <w:r>
        <w:t>Résumé de l</w:t>
      </w:r>
      <w:r w:rsidR="00AE18CA">
        <w:t>’</w:t>
      </w:r>
      <w:r>
        <w:t>évaluation</w:t>
      </w:r>
    </w:p>
    <w:p w14:paraId="78DB08D3" w14:textId="77777777" w:rsidR="00DC6688" w:rsidRDefault="00DC6688" w:rsidP="00DC6688">
      <w:pPr>
        <w:tabs>
          <w:tab w:val="left" w:pos="945"/>
        </w:tabs>
        <w:spacing w:after="0" w:line="240" w:lineRule="auto"/>
        <w:rPr>
          <w:rFonts w:asciiTheme="minorHAnsi" w:hAnsiTheme="minorHAnsi"/>
        </w:rPr>
      </w:pPr>
    </w:p>
    <w:p w14:paraId="52CF56C8" w14:textId="75167031" w:rsidR="00DC6688" w:rsidRPr="00DC6688" w:rsidRDefault="00DC6688" w:rsidP="00DC6688">
      <w:pPr>
        <w:tabs>
          <w:tab w:val="left" w:pos="945"/>
        </w:tabs>
        <w:spacing w:after="0" w:line="240" w:lineRule="auto"/>
        <w:rPr>
          <w:rFonts w:asciiTheme="minorHAnsi" w:hAnsiTheme="minorHAnsi"/>
        </w:rPr>
      </w:pPr>
      <w:r w:rsidRPr="00DC6688">
        <w:rPr>
          <w:rFonts w:asciiTheme="minorHAnsi" w:hAnsiTheme="minorHAnsi"/>
        </w:rPr>
        <w:t>Le système sanitaire actuel du laboratoire du lac Cultus se déverse dans un champ de dispersion septique dont la durée de vie approche. La proposition actuelle consiste à mettre à jour le système de traitement des fosses septiques et les champs de dispersion en un système de collecte des égouts alimenté par gravité se déversant dans une station de pompage. La canalisation par gravité sera installée pour recueillir à la fois le site et la fosse septique du conseil du parc du lac Cultus sur la propriété du MPO, puis sera soulevée jusqu'à la station de pompage. L'installation d'une conduite de refoulement sanitaire permettra d'acheminer les débits de la station de pompage puis de rejeter les débits vers un trou d'homme à proximité de la propriété. La station de pompage sera située sur une zone herbeuse développée près du bord de la zone boisée sur le campus adjacent du laboratoire du lac Cultus, près de la rivière Sweltzer. La conception actuelle consiste à travailler uniquement dans les portions pavées ou en gravier de la route existante afin d'éviter les perturbations dans les cours d'eau de la rivière Sweltzer et du ruisseau Hatchery. La conception exigera que la conduite de refoulement passe sous un ponceau dans la zone riveraine du ruisseau Hatchery. Pour réduire la quantité de surface perturbée, l'utilisation du forage directionnel horizontal (HDD) plutôt que la méthodologie des tranchées à ciel ouvert sera appliquée. Le ponceau fait partie du système ruisseau Hatchery.</w:t>
      </w:r>
    </w:p>
    <w:p w14:paraId="77412433" w14:textId="77777777" w:rsidR="00DC6688" w:rsidRPr="00DC6688" w:rsidRDefault="00DC6688" w:rsidP="00DC6688">
      <w:pPr>
        <w:rPr>
          <w:rFonts w:asciiTheme="minorHAnsi" w:hAnsiTheme="minorHAnsi"/>
        </w:rPr>
      </w:pPr>
    </w:p>
    <w:p w14:paraId="1916A7CC" w14:textId="77777777" w:rsidR="00DC6688" w:rsidRPr="00DC6688" w:rsidRDefault="00DC6688" w:rsidP="00DC6688">
      <w:pPr>
        <w:rPr>
          <w:rFonts w:asciiTheme="minorHAnsi" w:hAnsiTheme="minorHAnsi"/>
        </w:rPr>
      </w:pPr>
      <w:r w:rsidRPr="00DC6688">
        <w:rPr>
          <w:rFonts w:asciiTheme="minorHAnsi" w:hAnsiTheme="minorHAnsi"/>
        </w:rPr>
        <w:lastRenderedPageBreak/>
        <w:t>L'équipement clé comprendra : des camions, des véhicules, de l'équipement d'excavation, un camion hydro-vac et de l'équipement de forage directionnel horizontal.</w:t>
      </w:r>
    </w:p>
    <w:p w14:paraId="15300CE9" w14:textId="77777777" w:rsidR="00DC6688" w:rsidRDefault="00DC6688" w:rsidP="00DC6688">
      <w:pPr>
        <w:pStyle w:val="ListParagraph"/>
        <w:numPr>
          <w:ilvl w:val="0"/>
          <w:numId w:val="1"/>
        </w:numPr>
        <w:rPr>
          <w:rFonts w:asciiTheme="minorHAnsi" w:hAnsiTheme="minorHAnsi" w:cstheme="minorBidi"/>
          <w:lang w:val="fr-FR"/>
        </w:rPr>
      </w:pPr>
      <w:r w:rsidRPr="00C72A98">
        <w:rPr>
          <w:rFonts w:asciiTheme="minorHAnsi" w:hAnsiTheme="minorHAnsi" w:cstheme="minorBidi"/>
          <w:lang w:val="fr-FR"/>
        </w:rPr>
        <w:t xml:space="preserve"> Les fournitures seront amenées sur le site par la route puis installées ou les éléments préfabriqués seront amenés sur le site</w:t>
      </w:r>
    </w:p>
    <w:p w14:paraId="6F6C0B47" w14:textId="77777777" w:rsidR="00DC6688" w:rsidRPr="00C72A98" w:rsidRDefault="00DC6688" w:rsidP="00DC6688">
      <w:pPr>
        <w:pStyle w:val="ListParagraph"/>
        <w:numPr>
          <w:ilvl w:val="0"/>
          <w:numId w:val="1"/>
        </w:numPr>
        <w:rPr>
          <w:rFonts w:asciiTheme="minorHAnsi" w:hAnsiTheme="minorHAnsi" w:cstheme="minorBidi"/>
          <w:lang w:val="fr-FR"/>
        </w:rPr>
      </w:pPr>
      <w:r w:rsidRPr="00C72A98">
        <w:rPr>
          <w:rFonts w:asciiTheme="minorHAnsi" w:hAnsiTheme="minorHAnsi" w:cstheme="minorBidi"/>
          <w:lang w:val="fr-FR"/>
        </w:rPr>
        <w:t>Une grue et/ou d'autres machines à utiliser pour les ramasser/déployer dans la bonne position</w:t>
      </w:r>
    </w:p>
    <w:p w14:paraId="1EF98B52" w14:textId="77777777" w:rsidR="00DC6688" w:rsidRPr="00F36349" w:rsidRDefault="00DC6688" w:rsidP="00DC6688">
      <w:pPr>
        <w:pStyle w:val="ListParagraph"/>
        <w:numPr>
          <w:ilvl w:val="0"/>
          <w:numId w:val="1"/>
        </w:numPr>
        <w:rPr>
          <w:rFonts w:asciiTheme="minorHAnsi" w:hAnsiTheme="minorHAnsi" w:cstheme="minorBidi"/>
          <w:lang w:val="fr-FR"/>
        </w:rPr>
      </w:pPr>
      <w:r>
        <w:rPr>
          <w:rFonts w:asciiTheme="minorHAnsi" w:hAnsiTheme="minorHAnsi" w:cstheme="minorBidi"/>
          <w:lang w:val="fr-FR"/>
        </w:rPr>
        <w:t>I</w:t>
      </w:r>
      <w:r w:rsidRPr="00F36349">
        <w:rPr>
          <w:rFonts w:asciiTheme="minorHAnsi" w:hAnsiTheme="minorHAnsi" w:cstheme="minorBidi"/>
          <w:lang w:val="fr-FR"/>
        </w:rPr>
        <w:t>nstallation de la tuyauterie vers la station de pompage : égout sanitaire gravitaire en PVC de 200 mm de diamètre et extension de la conduite sanitaire existante de 150 mm de diamètre, nouvelle conduite sanitaire en PEHD de 100 mm de diamètre</w:t>
      </w:r>
    </w:p>
    <w:p w14:paraId="66628B40" w14:textId="77777777" w:rsidR="00DC6688" w:rsidRPr="00F36349" w:rsidRDefault="00DC6688" w:rsidP="00DC6688">
      <w:pPr>
        <w:pStyle w:val="ListParagraph"/>
        <w:numPr>
          <w:ilvl w:val="0"/>
          <w:numId w:val="1"/>
        </w:numPr>
        <w:rPr>
          <w:rFonts w:asciiTheme="minorHAnsi" w:hAnsiTheme="minorHAnsi" w:cstheme="minorBidi"/>
          <w:lang w:val="fr-FR"/>
        </w:rPr>
      </w:pPr>
      <w:r>
        <w:rPr>
          <w:rFonts w:asciiTheme="minorHAnsi" w:hAnsiTheme="minorHAnsi" w:cstheme="minorBidi"/>
          <w:lang w:val="fr-FR"/>
        </w:rPr>
        <w:t>F</w:t>
      </w:r>
      <w:r w:rsidRPr="00F36349">
        <w:rPr>
          <w:rFonts w:asciiTheme="minorHAnsi" w:hAnsiTheme="minorHAnsi" w:cstheme="minorBidi"/>
          <w:lang w:val="fr-FR"/>
        </w:rPr>
        <w:t>orage horizontal sous le ponceau dans</w:t>
      </w:r>
      <w:r>
        <w:rPr>
          <w:rFonts w:asciiTheme="minorHAnsi" w:hAnsiTheme="minorHAnsi" w:cstheme="minorBidi"/>
          <w:lang w:val="fr-FR"/>
        </w:rPr>
        <w:t xml:space="preserve"> </w:t>
      </w:r>
      <w:r w:rsidRPr="00A8357A">
        <w:rPr>
          <w:rFonts w:asciiTheme="minorHAnsi" w:hAnsiTheme="minorHAnsi" w:cstheme="minorBidi"/>
          <w:lang w:val="fr-FR"/>
        </w:rPr>
        <w:t>ruisseau</w:t>
      </w:r>
      <w:r w:rsidRPr="00F36349">
        <w:rPr>
          <w:rFonts w:asciiTheme="minorHAnsi" w:hAnsiTheme="minorHAnsi" w:cstheme="minorBidi"/>
          <w:lang w:val="fr-FR"/>
        </w:rPr>
        <w:t xml:space="preserve"> Hatchery </w:t>
      </w:r>
    </w:p>
    <w:p w14:paraId="6D84F482" w14:textId="77777777" w:rsidR="00DC6688" w:rsidRPr="00F36349" w:rsidRDefault="00DC6688" w:rsidP="00DC6688">
      <w:pPr>
        <w:pStyle w:val="ListParagraph"/>
        <w:numPr>
          <w:ilvl w:val="0"/>
          <w:numId w:val="1"/>
        </w:numPr>
        <w:rPr>
          <w:rFonts w:asciiTheme="minorHAnsi" w:hAnsiTheme="minorHAnsi" w:cstheme="minorBidi"/>
          <w:lang w:val="fr-FR"/>
        </w:rPr>
      </w:pPr>
      <w:r w:rsidRPr="00F36349">
        <w:rPr>
          <w:rFonts w:asciiTheme="minorHAnsi" w:hAnsiTheme="minorHAnsi" w:cstheme="minorBidi"/>
          <w:lang w:val="fr-FR"/>
        </w:rPr>
        <w:t>Installation d'une nouvelle station de pompage de puits immergé</w:t>
      </w:r>
    </w:p>
    <w:p w14:paraId="20A50C66" w14:textId="77777777" w:rsidR="00DC6688" w:rsidRPr="00F36349" w:rsidRDefault="00DC6688" w:rsidP="00DC6688">
      <w:pPr>
        <w:pStyle w:val="ListParagraph"/>
        <w:numPr>
          <w:ilvl w:val="0"/>
          <w:numId w:val="1"/>
        </w:numPr>
        <w:rPr>
          <w:rFonts w:asciiTheme="minorHAnsi" w:hAnsiTheme="minorHAnsi" w:cstheme="minorBidi"/>
          <w:lang w:val="fr-FR"/>
        </w:rPr>
      </w:pPr>
      <w:r w:rsidRPr="00F36349">
        <w:rPr>
          <w:rFonts w:asciiTheme="minorHAnsi" w:hAnsiTheme="minorHAnsi" w:cstheme="minorBidi"/>
          <w:lang w:val="fr-FR"/>
        </w:rPr>
        <w:t>Raccordement des sanitaires par gravité avec la boîte de distribution hors site existante, le système sanitaire et la nouvelle station de pompage sur site</w:t>
      </w:r>
    </w:p>
    <w:p w14:paraId="76D9718E" w14:textId="77777777" w:rsidR="00DC6688" w:rsidRPr="00F36349" w:rsidRDefault="00DC6688" w:rsidP="00DC6688">
      <w:pPr>
        <w:pStyle w:val="ListParagraph"/>
        <w:numPr>
          <w:ilvl w:val="0"/>
          <w:numId w:val="1"/>
        </w:numPr>
        <w:rPr>
          <w:rFonts w:asciiTheme="minorHAnsi" w:hAnsiTheme="minorHAnsi" w:cstheme="minorBidi"/>
          <w:lang w:val="fr-FR"/>
        </w:rPr>
      </w:pPr>
      <w:r w:rsidRPr="00F36349">
        <w:rPr>
          <w:rFonts w:asciiTheme="minorHAnsi" w:hAnsiTheme="minorHAnsi" w:cstheme="minorBidi"/>
          <w:lang w:val="fr-FR"/>
        </w:rPr>
        <w:t xml:space="preserve">Raccordement de la nouvelle conduite de refoulement sanitaire avec la station de pompage pour acheminer les débits de la station de pompage vers les regards </w:t>
      </w:r>
    </w:p>
    <w:p w14:paraId="265FDAB6" w14:textId="77777777" w:rsidR="00DC6688" w:rsidRDefault="00DC6688" w:rsidP="005454DB">
      <w:pPr>
        <w:pStyle w:val="Heading1"/>
      </w:pPr>
    </w:p>
    <w:p w14:paraId="4CF6EA29" w14:textId="5C78EE6E" w:rsidR="004028D8" w:rsidRPr="00376E8F" w:rsidRDefault="004028D8" w:rsidP="005454DB">
      <w:pPr>
        <w:pStyle w:val="Heading1"/>
      </w:pPr>
      <w:r>
        <w:t>Emplacements du projet</w:t>
      </w:r>
    </w:p>
    <w:p w14:paraId="0DEBED51" w14:textId="77777777" w:rsidR="00DC6688" w:rsidRPr="00DC6688" w:rsidRDefault="00DC6688" w:rsidP="00DC6688">
      <w:pPr>
        <w:pStyle w:val="Heading1"/>
        <w:rPr>
          <w:rFonts w:asciiTheme="minorHAnsi" w:eastAsiaTheme="minorHAnsi" w:hAnsiTheme="minorHAnsi" w:cs="Arial"/>
          <w:color w:val="auto"/>
          <w:sz w:val="22"/>
          <w:szCs w:val="22"/>
        </w:rPr>
      </w:pPr>
      <w:r w:rsidRPr="00DC6688">
        <w:rPr>
          <w:rFonts w:asciiTheme="minorHAnsi" w:eastAsiaTheme="minorHAnsi" w:hAnsiTheme="minorHAnsi" w:cs="Arial"/>
          <w:color w:val="auto"/>
          <w:sz w:val="22"/>
          <w:szCs w:val="22"/>
        </w:rPr>
        <w:t>Le laboratoire du lac Cultus est une installation du ministère des Pêches et des Océans Canada située dans l'est de la vallée du Fraser, près de Chilliwack, en Colombie-Britannique. L'installation contient plusieurs laboratoires, des cours d'eau artificiels, des étangs et une écloserie expérimentale.</w:t>
      </w:r>
    </w:p>
    <w:p w14:paraId="2EFBE437" w14:textId="77777777" w:rsidR="00DC6688" w:rsidRPr="00DC6688" w:rsidRDefault="00DC6688" w:rsidP="00DC6688">
      <w:pPr>
        <w:pStyle w:val="Heading1"/>
        <w:rPr>
          <w:rFonts w:asciiTheme="minorHAnsi" w:eastAsiaTheme="minorHAnsi" w:hAnsiTheme="minorHAnsi" w:cs="Arial"/>
          <w:color w:val="auto"/>
          <w:sz w:val="22"/>
          <w:szCs w:val="22"/>
        </w:rPr>
      </w:pPr>
      <w:r w:rsidRPr="00DC6688">
        <w:rPr>
          <w:rFonts w:asciiTheme="minorHAnsi" w:eastAsiaTheme="minorHAnsi" w:hAnsiTheme="minorHAnsi" w:cs="Arial"/>
          <w:color w:val="auto"/>
          <w:sz w:val="22"/>
          <w:szCs w:val="22"/>
        </w:rPr>
        <w:t>Coordonnées :</w:t>
      </w:r>
    </w:p>
    <w:p w14:paraId="106ED6C5" w14:textId="77777777" w:rsidR="00DC6688" w:rsidRPr="00DC6688" w:rsidRDefault="00DC6688" w:rsidP="00DC6688">
      <w:pPr>
        <w:pStyle w:val="Heading1"/>
        <w:rPr>
          <w:rFonts w:asciiTheme="minorHAnsi" w:eastAsiaTheme="minorHAnsi" w:hAnsiTheme="minorHAnsi" w:cs="Arial"/>
          <w:color w:val="auto"/>
          <w:sz w:val="22"/>
          <w:szCs w:val="22"/>
        </w:rPr>
      </w:pPr>
      <w:r w:rsidRPr="00DC6688">
        <w:rPr>
          <w:rFonts w:asciiTheme="minorHAnsi" w:eastAsiaTheme="minorHAnsi" w:hAnsiTheme="minorHAnsi" w:cs="Arial"/>
          <w:color w:val="auto"/>
          <w:sz w:val="22"/>
          <w:szCs w:val="22"/>
        </w:rPr>
        <w:t>Latitude : 49° 4' 43,9242"</w:t>
      </w:r>
    </w:p>
    <w:p w14:paraId="2021D577" w14:textId="0731ED4E" w:rsidR="00F468C2" w:rsidRPr="00DC6688" w:rsidRDefault="00DC6688" w:rsidP="00DC6688">
      <w:pPr>
        <w:pStyle w:val="Heading1"/>
        <w:rPr>
          <w:rFonts w:asciiTheme="minorHAnsi" w:eastAsia="Times New Roman" w:hAnsiTheme="minorHAnsi" w:cstheme="minorHAnsi"/>
          <w:color w:val="000000"/>
          <w:sz w:val="22"/>
          <w:szCs w:val="22"/>
          <w:lang w:val="fr-FR" w:eastAsia="en-CA"/>
        </w:rPr>
      </w:pPr>
      <w:r w:rsidRPr="00DC6688">
        <w:rPr>
          <w:rFonts w:asciiTheme="minorHAnsi" w:eastAsiaTheme="minorHAnsi" w:hAnsiTheme="minorHAnsi" w:cs="Arial"/>
          <w:color w:val="auto"/>
          <w:sz w:val="22"/>
          <w:szCs w:val="22"/>
        </w:rPr>
        <w:t>Longitude : -121° 58' 43.464"</w:t>
      </w:r>
    </w:p>
    <w:p w14:paraId="4D06F7A4"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1F573E60"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71009CA6"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3F8679DA" w14:textId="77777777" w:rsidR="00241798" w:rsidRPr="00394FAC" w:rsidRDefault="00241798" w:rsidP="001E3CED">
      <w:pPr>
        <w:rPr>
          <w:rFonts w:asciiTheme="minorHAnsi" w:hAnsiTheme="minorHAnsi" w:cstheme="minorBidi"/>
        </w:rPr>
      </w:pPr>
    </w:p>
    <w:sectPr w:rsidR="00241798" w:rsidRPr="00394FAC"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B0A9F" w14:textId="77777777" w:rsidR="00230963" w:rsidRDefault="00230963" w:rsidP="007E2D54">
      <w:pPr>
        <w:spacing w:after="0" w:line="240" w:lineRule="auto"/>
      </w:pPr>
      <w:r>
        <w:separator/>
      </w:r>
    </w:p>
  </w:endnote>
  <w:endnote w:type="continuationSeparator" w:id="0">
    <w:p w14:paraId="0B268F5E" w14:textId="77777777" w:rsidR="00230963" w:rsidRDefault="00230963" w:rsidP="007E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2E818" w14:textId="77777777" w:rsidR="00230963" w:rsidRDefault="00230963" w:rsidP="007E2D54">
      <w:pPr>
        <w:spacing w:after="0" w:line="240" w:lineRule="auto"/>
      </w:pPr>
      <w:r>
        <w:separator/>
      </w:r>
    </w:p>
  </w:footnote>
  <w:footnote w:type="continuationSeparator" w:id="0">
    <w:p w14:paraId="31C77033" w14:textId="77777777" w:rsidR="00230963" w:rsidRDefault="00230963" w:rsidP="007E2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40690"/>
    <w:multiLevelType w:val="hybridMultilevel"/>
    <w:tmpl w:val="F1A8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84F1C"/>
    <w:rsid w:val="001B5323"/>
    <w:rsid w:val="001E3CED"/>
    <w:rsid w:val="00210E06"/>
    <w:rsid w:val="00225D4A"/>
    <w:rsid w:val="00230963"/>
    <w:rsid w:val="00241798"/>
    <w:rsid w:val="00244203"/>
    <w:rsid w:val="002A3521"/>
    <w:rsid w:val="002D0BC3"/>
    <w:rsid w:val="00337767"/>
    <w:rsid w:val="0034497E"/>
    <w:rsid w:val="003661DC"/>
    <w:rsid w:val="00376E8F"/>
    <w:rsid w:val="00386C9C"/>
    <w:rsid w:val="00394FAC"/>
    <w:rsid w:val="003A5BC3"/>
    <w:rsid w:val="004028D8"/>
    <w:rsid w:val="00452209"/>
    <w:rsid w:val="00461212"/>
    <w:rsid w:val="004A0E02"/>
    <w:rsid w:val="004C12FB"/>
    <w:rsid w:val="004F255B"/>
    <w:rsid w:val="005454DB"/>
    <w:rsid w:val="00587E47"/>
    <w:rsid w:val="005E0DFF"/>
    <w:rsid w:val="005E689E"/>
    <w:rsid w:val="005F3379"/>
    <w:rsid w:val="00644386"/>
    <w:rsid w:val="00654894"/>
    <w:rsid w:val="006978B4"/>
    <w:rsid w:val="006F35D1"/>
    <w:rsid w:val="00711279"/>
    <w:rsid w:val="00716015"/>
    <w:rsid w:val="007477ED"/>
    <w:rsid w:val="007E2D54"/>
    <w:rsid w:val="00820EA9"/>
    <w:rsid w:val="008A2EA8"/>
    <w:rsid w:val="008B6DA0"/>
    <w:rsid w:val="009404CA"/>
    <w:rsid w:val="00965F0F"/>
    <w:rsid w:val="0097387A"/>
    <w:rsid w:val="009A01AF"/>
    <w:rsid w:val="009B694C"/>
    <w:rsid w:val="00A23758"/>
    <w:rsid w:val="00A237B3"/>
    <w:rsid w:val="00AE18CA"/>
    <w:rsid w:val="00B27797"/>
    <w:rsid w:val="00B57DC1"/>
    <w:rsid w:val="00B91135"/>
    <w:rsid w:val="00BB3194"/>
    <w:rsid w:val="00BC1FE5"/>
    <w:rsid w:val="00BC4DA6"/>
    <w:rsid w:val="00CA05F9"/>
    <w:rsid w:val="00CF11BE"/>
    <w:rsid w:val="00DB0F77"/>
    <w:rsid w:val="00DC6688"/>
    <w:rsid w:val="00DE3EE7"/>
    <w:rsid w:val="00E47897"/>
    <w:rsid w:val="00E558AE"/>
    <w:rsid w:val="00E642EF"/>
    <w:rsid w:val="00ED500C"/>
    <w:rsid w:val="00F468C2"/>
    <w:rsid w:val="00FC52D4"/>
    <w:rsid w:val="00FC7B6F"/>
    <w:rsid w:val="00FE1B6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Header">
    <w:name w:val="header"/>
    <w:basedOn w:val="Normal"/>
    <w:link w:val="HeaderChar"/>
    <w:uiPriority w:val="99"/>
    <w:unhideWhenUsed/>
    <w:rsid w:val="00366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DC"/>
    <w:rPr>
      <w:rFonts w:ascii="Arial" w:hAnsi="Arial" w:cs="Arial"/>
    </w:rPr>
  </w:style>
  <w:style w:type="paragraph" w:styleId="Footer">
    <w:name w:val="footer"/>
    <w:basedOn w:val="Normal"/>
    <w:link w:val="FooterChar"/>
    <w:uiPriority w:val="99"/>
    <w:unhideWhenUsed/>
    <w:rsid w:val="0036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DC"/>
    <w:rPr>
      <w:rFonts w:ascii="Arial" w:hAnsi="Arial" w:cs="Arial"/>
    </w:rPr>
  </w:style>
  <w:style w:type="character" w:styleId="FollowedHyperlink">
    <w:name w:val="FollowedHyperlink"/>
    <w:basedOn w:val="DefaultParagraphFont"/>
    <w:uiPriority w:val="99"/>
    <w:semiHidden/>
    <w:unhideWhenUsed/>
    <w:rsid w:val="006F35D1"/>
    <w:rPr>
      <w:color w:val="954F72" w:themeColor="followedHyperlink"/>
      <w:u w:val="single"/>
    </w:rPr>
  </w:style>
  <w:style w:type="paragraph" w:styleId="ListParagraph">
    <w:name w:val="List Paragraph"/>
    <w:basedOn w:val="Normal"/>
    <w:uiPriority w:val="34"/>
    <w:qFormat/>
    <w:rsid w:val="00DC6688"/>
    <w:pPr>
      <w:ind w:left="720"/>
      <w:contextualSpacing/>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aa-acee.gc.ca/050/evaluations/Protection?culture=f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3462</Characters>
  <Application>Microsoft Office Word</Application>
  <DocSecurity>4</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MPO-DFO</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2</cp:revision>
  <dcterms:created xsi:type="dcterms:W3CDTF">2022-05-06T17:46:00Z</dcterms:created>
  <dcterms:modified xsi:type="dcterms:W3CDTF">2022-05-06T17:46:00Z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RunPrepV5.0.2">
    <vt:lpwstr>2021-10-08 09:21:19</vt:lpwstr>
  </property>
</Properties>
</file>