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D0F9" w14:textId="77777777" w:rsidR="009A01AF" w:rsidRPr="009A01AF" w:rsidRDefault="004028D8" w:rsidP="0034497E">
      <w:pPr>
        <w:pStyle w:val="Heading1"/>
      </w:pPr>
      <w:bookmarkStart w:id="0" w:name="_GoBack"/>
      <w:bookmarkEnd w:id="0"/>
      <w:r>
        <w:t>Avis public</w:t>
      </w:r>
    </w:p>
    <w:p w14:paraId="4A9A0DBE" w14:textId="77777777" w:rsidR="00225D4A" w:rsidRDefault="00225D4A" w:rsidP="00022FC8">
      <w:pPr>
        <w:pStyle w:val="Heading1"/>
        <w:rPr>
          <w:rFonts w:asciiTheme="minorHAnsi" w:eastAsia="Times New Roman" w:hAnsiTheme="minorHAnsi" w:cs="Times New Roman"/>
          <w:color w:val="auto"/>
          <w:sz w:val="22"/>
          <w:szCs w:val="22"/>
        </w:rPr>
      </w:pPr>
      <w:r w:rsidRPr="00225D4A">
        <w:rPr>
          <w:rFonts w:asciiTheme="minorHAnsi" w:eastAsia="Times New Roman" w:hAnsiTheme="minorHAnsi" w:cs="Times New Roman"/>
          <w:color w:val="auto"/>
          <w:sz w:val="22"/>
          <w:szCs w:val="22"/>
        </w:rPr>
        <w:t>Projet d'amélioration de Frayère artificielle du ruisseau Pinkut- Remplacement de la génératrice</w:t>
      </w:r>
    </w:p>
    <w:p w14:paraId="2F623628" w14:textId="7A55DA06" w:rsidR="004028D8" w:rsidRPr="00ED500C" w:rsidRDefault="004028D8" w:rsidP="00022FC8">
      <w:pPr>
        <w:pStyle w:val="Heading1"/>
      </w:pPr>
      <w:r>
        <w:t>Sollicitation des commentaires du public</w:t>
      </w:r>
    </w:p>
    <w:p w14:paraId="65C45D1E" w14:textId="1E215789" w:rsidR="001E3CED" w:rsidRPr="00587E47" w:rsidRDefault="00225D4A" w:rsidP="004028D8">
      <w:pPr>
        <w:rPr>
          <w:rFonts w:asciiTheme="minorHAnsi" w:hAnsiTheme="minorHAnsi" w:cstheme="minorBidi"/>
          <w:b/>
        </w:rPr>
      </w:pPr>
      <w:r w:rsidRPr="00225D4A">
        <w:rPr>
          <w:rFonts w:asciiTheme="minorHAnsi" w:hAnsiTheme="minorHAnsi"/>
        </w:rPr>
        <w:t xml:space="preserve">25 avril 2022 </w:t>
      </w:r>
      <w:r w:rsidR="00654894">
        <w:rPr>
          <w:rFonts w:asciiTheme="minorHAnsi" w:hAnsiTheme="minorHAnsi"/>
        </w:rPr>
        <w:t>- Le ministère des Pêches et des Océans (MPO) doit décider si l</w:t>
      </w:r>
      <w:r w:rsidR="00396A46">
        <w:rPr>
          <w:rFonts w:asciiTheme="minorHAnsi" w:hAnsiTheme="minorHAnsi"/>
        </w:rPr>
        <w:t>e projet d’amélioration du générateur de remplacement de Pinkut Creek</w:t>
      </w:r>
      <w:r w:rsidR="00654894">
        <w:rPr>
          <w:rFonts w:asciiTheme="minorHAnsi" w:hAnsiTheme="minorHAnsi"/>
        </w:rPr>
        <w:t xml:space="preserve"> </w:t>
      </w:r>
      <w:r w:rsidR="00396A46">
        <w:rPr>
          <w:rFonts w:asciiTheme="minorHAnsi" w:hAnsiTheme="minorHAnsi"/>
        </w:rPr>
        <w:t xml:space="preserve">au </w:t>
      </w:r>
      <w:r w:rsidR="004D5B00">
        <w:rPr>
          <w:rFonts w:asciiTheme="minorHAnsi" w:hAnsiTheme="minorHAnsi"/>
        </w:rPr>
        <w:t>lac Babine</w:t>
      </w:r>
      <w:r w:rsidR="00396A46">
        <w:rPr>
          <w:rFonts w:asciiTheme="minorHAnsi" w:hAnsiTheme="minorHAnsi"/>
        </w:rPr>
        <w:t xml:space="preserve">, </w:t>
      </w:r>
      <w:r w:rsidR="004D5B00">
        <w:rPr>
          <w:rFonts w:asciiTheme="minorHAnsi" w:hAnsiTheme="minorHAnsi"/>
        </w:rPr>
        <w:t xml:space="preserve">en </w:t>
      </w:r>
      <w:r w:rsidR="00396A46">
        <w:rPr>
          <w:rFonts w:asciiTheme="minorHAnsi" w:hAnsiTheme="minorHAnsi"/>
        </w:rPr>
        <w:t>C.B-.,</w:t>
      </w:r>
      <w:r w:rsidR="00654894">
        <w:rPr>
          <w:rFonts w:asciiTheme="minorHAnsi" w:hAnsiTheme="minorHAnsi"/>
        </w:rPr>
        <w:t xml:space="preserve"> est susceptible de causer des effets négatifs importants.</w:t>
      </w:r>
    </w:p>
    <w:p w14:paraId="393537C4" w14:textId="1841AB2B" w:rsidR="004028D8" w:rsidRPr="006F35D1" w:rsidRDefault="004028D8" w:rsidP="004028D8">
      <w:pPr>
        <w:rPr>
          <w:rFonts w:asciiTheme="minorHAnsi" w:hAnsiTheme="minorHAnsi" w:cstheme="minorHAnsi"/>
        </w:rPr>
      </w:pPr>
      <w:r w:rsidRPr="006F35D1">
        <w:rPr>
          <w:rFonts w:asciiTheme="minorHAnsi" w:hAnsiTheme="minorHAnsi" w:cstheme="minorHAnsi"/>
        </w:rPr>
        <w:t>Afin de contribuer à une prise de décision éclairée, Pêches et Océans Canada sollicite les commentaires du public sur le projet et ses effets éventuels sur l</w:t>
      </w:r>
      <w:r w:rsidR="00AE18CA" w:rsidRPr="006F35D1">
        <w:rPr>
          <w:rFonts w:asciiTheme="minorHAnsi" w:hAnsiTheme="minorHAnsi" w:cstheme="minorHAnsi"/>
        </w:rPr>
        <w:t>’</w:t>
      </w:r>
      <w:r w:rsidRPr="006F35D1">
        <w:rPr>
          <w:rFonts w:asciiTheme="minorHAnsi" w:hAnsiTheme="minorHAnsi" w:cstheme="minorHAnsi"/>
        </w:rPr>
        <w:t>environnement. Tous les commentaires reçus seront considérés comme des renseignements publics. Pour de plus amples renseignements, les personnes sont invitées à consulter l</w:t>
      </w:r>
      <w:r w:rsidR="00AE18CA" w:rsidRPr="006F35D1">
        <w:rPr>
          <w:rFonts w:asciiTheme="minorHAnsi" w:hAnsiTheme="minorHAnsi" w:cstheme="minorHAnsi"/>
        </w:rPr>
        <w:t>’</w:t>
      </w:r>
      <w:hyperlink r:id="rId6" w:history="1">
        <w:r w:rsidRPr="006F35D1">
          <w:rPr>
            <w:rStyle w:val="Hyperlink"/>
            <w:rFonts w:asciiTheme="minorHAnsi" w:hAnsiTheme="minorHAnsi" w:cstheme="minorHAnsi"/>
          </w:rPr>
          <w:t>Avis de confidentialité</w:t>
        </w:r>
      </w:hyperlink>
      <w:r w:rsidRPr="006F35D1">
        <w:rPr>
          <w:rFonts w:asciiTheme="minorHAnsi" w:hAnsiTheme="minorHAnsi" w:cstheme="minorHAnsi"/>
        </w:rPr>
        <w:t xml:space="preserve"> sur le site Web du Registre.</w:t>
      </w:r>
    </w:p>
    <w:p w14:paraId="49A93B4F" w14:textId="4CD42764" w:rsidR="001E3CED" w:rsidRDefault="004028D8" w:rsidP="001E3CE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Les commentaires écrits doivent être soumis d</w:t>
      </w:r>
      <w:r w:rsidR="00AE18CA">
        <w:rPr>
          <w:rFonts w:asciiTheme="minorHAnsi" w:hAnsiTheme="minorHAnsi"/>
        </w:rPr>
        <w:t>’</w:t>
      </w:r>
      <w:r>
        <w:rPr>
          <w:rFonts w:asciiTheme="minorHAnsi" w:hAnsiTheme="minorHAnsi"/>
        </w:rPr>
        <w:t>ici le</w:t>
      </w:r>
      <w:r>
        <w:rPr>
          <w:rFonts w:asciiTheme="minorHAnsi" w:hAnsiTheme="minorHAnsi"/>
          <w:b/>
        </w:rPr>
        <w:t xml:space="preserve"> </w:t>
      </w:r>
      <w:r w:rsidR="00225D4A" w:rsidRPr="00225D4A">
        <w:rPr>
          <w:rFonts w:asciiTheme="minorHAnsi" w:hAnsiTheme="minorHAnsi"/>
          <w:b/>
        </w:rPr>
        <w:t xml:space="preserve">25 mai 2022 </w:t>
      </w:r>
      <w:r>
        <w:rPr>
          <w:rFonts w:asciiTheme="minorHAnsi" w:hAnsiTheme="minorHAnsi"/>
        </w:rPr>
        <w:t>à :</w:t>
      </w:r>
    </w:p>
    <w:p w14:paraId="61BBB506" w14:textId="77777777" w:rsidR="00225D4A" w:rsidRDefault="00225D4A" w:rsidP="001E3CED">
      <w:pPr>
        <w:rPr>
          <w:rFonts w:asciiTheme="minorHAnsi" w:hAnsiTheme="minorHAnsi"/>
        </w:rPr>
      </w:pPr>
      <w:r w:rsidRPr="00225D4A">
        <w:rPr>
          <w:rFonts w:asciiTheme="minorHAnsi" w:hAnsiTheme="minorHAnsi"/>
        </w:rPr>
        <w:t xml:space="preserve">Collin Gagne </w:t>
      </w:r>
    </w:p>
    <w:p w14:paraId="6AFDA7E7" w14:textId="532C4EAB" w:rsidR="001E3CED" w:rsidRDefault="001E3CED" w:rsidP="001E3CE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Ingénieur de projet</w:t>
      </w:r>
    </w:p>
    <w:p w14:paraId="201F3BA3" w14:textId="77777777" w:rsidR="001E3CED" w:rsidRDefault="001E3CED" w:rsidP="001E3CE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Pêches et Océans Canada, Région du Pacifique</w:t>
      </w:r>
    </w:p>
    <w:p w14:paraId="693F9349" w14:textId="77777777" w:rsidR="001E3CED" w:rsidRDefault="001E3CED" w:rsidP="001E3CED">
      <w:r>
        <w:rPr>
          <w:rFonts w:asciiTheme="minorHAnsi" w:hAnsiTheme="minorHAnsi"/>
        </w:rPr>
        <w:t>Biens immobiliers, protection et sécurité</w:t>
      </w:r>
      <w:r>
        <w:t xml:space="preserve"> </w:t>
      </w:r>
    </w:p>
    <w:p w14:paraId="470244C4" w14:textId="5B2332A8" w:rsidR="001E3CED" w:rsidRPr="001E3CED" w:rsidRDefault="001E3CED" w:rsidP="001E3CE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 xml:space="preserve">Téléphone : </w:t>
      </w:r>
      <w:r w:rsidR="00225D4A" w:rsidRPr="00225D4A">
        <w:rPr>
          <w:rFonts w:asciiTheme="minorHAnsi" w:hAnsiTheme="minorHAnsi"/>
        </w:rPr>
        <w:t>(604) 649-6849</w:t>
      </w:r>
    </w:p>
    <w:p w14:paraId="3D14E699" w14:textId="17C95FA7" w:rsidR="001E3CED" w:rsidRDefault="001E3CED" w:rsidP="001E3CED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Courriel : </w:t>
      </w:r>
      <w:r w:rsidR="00225D4A" w:rsidRPr="00225D4A">
        <w:rPr>
          <w:rFonts w:asciiTheme="minorHAnsi" w:hAnsiTheme="minorHAnsi"/>
        </w:rPr>
        <w:t>Collin.Gagne@dfo-mpo.gc.ca</w:t>
      </w:r>
    </w:p>
    <w:p w14:paraId="65DF5BCA" w14:textId="15171E94" w:rsidR="004028D8" w:rsidRDefault="00654894" w:rsidP="001E3CED">
      <w:pPr>
        <w:pStyle w:val="Heading1"/>
      </w:pPr>
      <w:r>
        <w:lastRenderedPageBreak/>
        <w:t>Résumé de l</w:t>
      </w:r>
      <w:r w:rsidR="00AE18CA">
        <w:t>’</w:t>
      </w:r>
      <w:r>
        <w:t>évaluation</w:t>
      </w:r>
    </w:p>
    <w:p w14:paraId="553B6D80" w14:textId="355535C7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t>Le ministère des Pêches et des Océans entreprend un projet de remplacement des deux principales génératrices qui alimentent le chenal de po</w:t>
      </w:r>
      <w:r w:rsidR="00A80ED3">
        <w:rPr>
          <w:rFonts w:asciiTheme="minorHAnsi" w:hAnsiTheme="minorHAnsi"/>
          <w:color w:val="auto"/>
          <w:sz w:val="22"/>
          <w:szCs w:val="22"/>
        </w:rPr>
        <w:t>i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nte Pinkut. Ces générateurs remplacent des machines dangereuses. Les générateurs ont été déclarés inutilisables par un technicien de service en 2020. Si </w:t>
      </w:r>
      <w:r w:rsidR="004D5B00">
        <w:rPr>
          <w:rFonts w:asciiTheme="minorHAnsi" w:hAnsiTheme="minorHAnsi"/>
          <w:color w:val="auto"/>
          <w:sz w:val="22"/>
          <w:szCs w:val="22"/>
        </w:rPr>
        <w:t>ces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générateur</w:t>
      </w:r>
      <w:r w:rsidR="004D5B00">
        <w:rPr>
          <w:rFonts w:asciiTheme="minorHAnsi" w:hAnsiTheme="minorHAnsi"/>
          <w:color w:val="auto"/>
          <w:sz w:val="22"/>
          <w:szCs w:val="22"/>
        </w:rPr>
        <w:t>s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continuait à fonctionner, il y a un risque qu'il</w:t>
      </w:r>
      <w:r w:rsidR="004D5B00">
        <w:rPr>
          <w:rFonts w:asciiTheme="minorHAnsi" w:hAnsiTheme="minorHAnsi"/>
          <w:color w:val="auto"/>
          <w:sz w:val="22"/>
          <w:szCs w:val="22"/>
        </w:rPr>
        <w:t>s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tombe</w:t>
      </w:r>
      <w:r w:rsidR="004D5B00">
        <w:rPr>
          <w:rFonts w:asciiTheme="minorHAnsi" w:hAnsiTheme="minorHAnsi"/>
          <w:color w:val="auto"/>
          <w:sz w:val="22"/>
          <w:szCs w:val="22"/>
        </w:rPr>
        <w:t>nt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en panne de manière catastrophique. Cela représent</w:t>
      </w:r>
      <w:r w:rsidR="00396A46">
        <w:rPr>
          <w:rFonts w:asciiTheme="minorHAnsi" w:hAnsiTheme="minorHAnsi"/>
          <w:color w:val="auto"/>
          <w:sz w:val="22"/>
          <w:szCs w:val="22"/>
        </w:rPr>
        <w:t>e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un problème de santé et de sécurité. Les générateurs avaient des antécédents problématiques de pannes</w:t>
      </w:r>
      <w:r w:rsidR="004D5B00">
        <w:rPr>
          <w:rFonts w:asciiTheme="minorHAnsi" w:hAnsiTheme="minorHAnsi"/>
          <w:color w:val="auto"/>
          <w:sz w:val="22"/>
          <w:szCs w:val="22"/>
        </w:rPr>
        <w:t xml:space="preserve"> et de bris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63E4B69E" w14:textId="0F92BF55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t>C</w:t>
      </w:r>
      <w:r w:rsidR="004D5B00">
        <w:rPr>
          <w:rFonts w:asciiTheme="minorHAnsi" w:hAnsiTheme="minorHAnsi"/>
          <w:color w:val="auto"/>
          <w:sz w:val="22"/>
          <w:szCs w:val="22"/>
        </w:rPr>
        <w:t>e projet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remplacera les générateurs principaux 1 et 2 à l'intérieur du bâtiment des générateurs. La majorité des travaux seront effectués à l'intérieur pour remplacer les connexions mécaniques et électriques des génératrices existantes, puis placer les nouvelles génératrices sur les fondations en béton des bâtiments. Activités extérieures : mettre hors service le réservoir de carburant existant de 13 600 L et le réservoir journalier de 500 L, et le remplacer par un nouveau réservoir de carburant de 13 000 L.</w:t>
      </w:r>
    </w:p>
    <w:p w14:paraId="583EB38C" w14:textId="77777777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t>Le projet proposé comprendra les étapes suivantes :</w:t>
      </w:r>
    </w:p>
    <w:p w14:paraId="787AEE21" w14:textId="77777777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t>1) Remplacement des générateurs diesel existants</w:t>
      </w:r>
    </w:p>
    <w:p w14:paraId="1F0E53E3" w14:textId="77777777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t>2) Installer une nouvelle tuyauterie et connecter les générateurs au système d'échappement et au système de ventilation</w:t>
      </w:r>
    </w:p>
    <w:p w14:paraId="03B4F486" w14:textId="77777777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lastRenderedPageBreak/>
        <w:t>3) Remplacement du réservoir de diesel existant de 13 000 L par un réservoir de taille similaire, installation de nouveaux réservoirs journaliers</w:t>
      </w:r>
    </w:p>
    <w:p w14:paraId="50156FFA" w14:textId="3BC66210" w:rsidR="00225D4A" w:rsidRPr="00225D4A" w:rsidRDefault="00225D4A" w:rsidP="00225D4A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225D4A">
        <w:rPr>
          <w:rFonts w:asciiTheme="minorHAnsi" w:hAnsiTheme="minorHAnsi"/>
          <w:color w:val="auto"/>
          <w:sz w:val="22"/>
          <w:szCs w:val="22"/>
        </w:rPr>
        <w:t>4) Connect</w:t>
      </w:r>
      <w:r w:rsidR="004D5B00">
        <w:rPr>
          <w:rFonts w:asciiTheme="minorHAnsi" w:hAnsiTheme="minorHAnsi"/>
          <w:color w:val="auto"/>
          <w:sz w:val="22"/>
          <w:szCs w:val="22"/>
        </w:rPr>
        <w:t>ion</w:t>
      </w:r>
      <w:r w:rsidRPr="00225D4A">
        <w:rPr>
          <w:rFonts w:asciiTheme="minorHAnsi" w:hAnsiTheme="minorHAnsi"/>
          <w:color w:val="auto"/>
          <w:sz w:val="22"/>
          <w:szCs w:val="22"/>
        </w:rPr>
        <w:t xml:space="preserve"> aux services électriques existants du site.</w:t>
      </w:r>
    </w:p>
    <w:p w14:paraId="4CF6EA29" w14:textId="77777777" w:rsidR="004028D8" w:rsidRPr="00376E8F" w:rsidRDefault="004028D8" w:rsidP="005454DB">
      <w:pPr>
        <w:pStyle w:val="Heading1"/>
      </w:pPr>
      <w:r>
        <w:t>Emplacements du projet</w:t>
      </w:r>
    </w:p>
    <w:p w14:paraId="285B324D" w14:textId="01FCDC48" w:rsidR="00225D4A" w:rsidRPr="00225D4A" w:rsidRDefault="00225D4A" w:rsidP="00225D4A">
      <w:pPr>
        <w:pStyle w:val="Heading1"/>
        <w:rPr>
          <w:rFonts w:asciiTheme="minorHAnsi" w:eastAsiaTheme="minorHAnsi" w:hAnsiTheme="minorHAnsi" w:cs="Arial"/>
          <w:color w:val="auto"/>
          <w:sz w:val="22"/>
          <w:szCs w:val="22"/>
        </w:rPr>
      </w:pPr>
      <w:r w:rsidRPr="00225D4A">
        <w:rPr>
          <w:rFonts w:asciiTheme="minorHAnsi" w:eastAsiaTheme="minorHAnsi" w:hAnsiTheme="minorHAnsi" w:cs="Arial"/>
          <w:color w:val="auto"/>
          <w:sz w:val="22"/>
          <w:szCs w:val="22"/>
        </w:rPr>
        <w:t xml:space="preserve">Le projet </w:t>
      </w:r>
      <w:r w:rsidR="004D5B00">
        <w:rPr>
          <w:rFonts w:asciiTheme="minorHAnsi" w:eastAsiaTheme="minorHAnsi" w:hAnsiTheme="minorHAnsi" w:cs="Arial"/>
          <w:color w:val="auto"/>
          <w:sz w:val="22"/>
          <w:szCs w:val="22"/>
        </w:rPr>
        <w:t xml:space="preserve">de </w:t>
      </w:r>
      <w:r w:rsidRPr="00225D4A">
        <w:rPr>
          <w:rFonts w:asciiTheme="minorHAnsi" w:eastAsiaTheme="minorHAnsi" w:hAnsiTheme="minorHAnsi" w:cs="Arial"/>
          <w:color w:val="auto"/>
          <w:sz w:val="22"/>
          <w:szCs w:val="22"/>
        </w:rPr>
        <w:t xml:space="preserve">Frayère artificielle du ruisseau Pinkut est situé sur la rive sud du lac Babine, à environ 30 kilomètres au nord-est de Burns Lake et à 190 km au nord-ouest de Prince George. Le projet </w:t>
      </w:r>
      <w:r w:rsidR="004D5B00">
        <w:rPr>
          <w:rFonts w:asciiTheme="minorHAnsi" w:eastAsiaTheme="minorHAnsi" w:hAnsiTheme="minorHAnsi" w:cs="Arial"/>
          <w:color w:val="auto"/>
          <w:sz w:val="22"/>
          <w:szCs w:val="22"/>
        </w:rPr>
        <w:t xml:space="preserve">de </w:t>
      </w:r>
      <w:r w:rsidRPr="00225D4A">
        <w:rPr>
          <w:rFonts w:asciiTheme="minorHAnsi" w:eastAsiaTheme="minorHAnsi" w:hAnsiTheme="minorHAnsi" w:cs="Arial"/>
          <w:color w:val="auto"/>
          <w:sz w:val="22"/>
          <w:szCs w:val="22"/>
        </w:rPr>
        <w:t>Frayère artificielle du ruisseau Pinkut est situé dans la région de la côte nord du MPO-Pacifique et est accessible par véhicule.</w:t>
      </w:r>
    </w:p>
    <w:p w14:paraId="4DA56DBE" w14:textId="77777777" w:rsidR="00225D4A" w:rsidRPr="00225D4A" w:rsidRDefault="00225D4A" w:rsidP="00225D4A">
      <w:pPr>
        <w:pStyle w:val="Heading1"/>
        <w:rPr>
          <w:rFonts w:asciiTheme="minorHAnsi" w:eastAsiaTheme="minorHAnsi" w:hAnsiTheme="minorHAnsi" w:cs="Arial"/>
          <w:color w:val="auto"/>
          <w:sz w:val="22"/>
          <w:szCs w:val="22"/>
        </w:rPr>
      </w:pPr>
      <w:r w:rsidRPr="00225D4A">
        <w:rPr>
          <w:rFonts w:asciiTheme="minorHAnsi" w:eastAsiaTheme="minorHAnsi" w:hAnsiTheme="minorHAnsi" w:cs="Arial"/>
          <w:color w:val="auto"/>
          <w:sz w:val="22"/>
          <w:szCs w:val="22"/>
        </w:rPr>
        <w:t>Latitude : 54,442298 N</w:t>
      </w:r>
    </w:p>
    <w:p w14:paraId="5E6FED96" w14:textId="77777777" w:rsidR="00225D4A" w:rsidRPr="00225D4A" w:rsidRDefault="00225D4A" w:rsidP="00225D4A">
      <w:pPr>
        <w:pStyle w:val="Heading1"/>
        <w:rPr>
          <w:rFonts w:asciiTheme="minorHAnsi" w:eastAsiaTheme="minorHAnsi" w:hAnsiTheme="minorHAnsi" w:cs="Arial"/>
          <w:color w:val="auto"/>
          <w:sz w:val="22"/>
          <w:szCs w:val="22"/>
        </w:rPr>
      </w:pPr>
      <w:r w:rsidRPr="00225D4A">
        <w:rPr>
          <w:rFonts w:asciiTheme="minorHAnsi" w:eastAsiaTheme="minorHAnsi" w:hAnsiTheme="minorHAnsi" w:cs="Arial"/>
          <w:color w:val="auto"/>
          <w:sz w:val="22"/>
          <w:szCs w:val="22"/>
        </w:rPr>
        <w:t>Longitude : -125,45412 O</w:t>
      </w:r>
    </w:p>
    <w:p w14:paraId="3360B58E" w14:textId="06FA6BFC" w:rsidR="00F468C2" w:rsidRPr="00225D4A" w:rsidRDefault="00225D4A" w:rsidP="00225D4A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FR" w:eastAsia="en-CA"/>
        </w:rPr>
      </w:pPr>
      <w:r w:rsidRPr="00225D4A">
        <w:rPr>
          <w:rFonts w:asciiTheme="minorHAnsi" w:eastAsiaTheme="minorHAnsi" w:hAnsiTheme="minorHAnsi" w:cs="Arial"/>
          <w:color w:val="auto"/>
          <w:sz w:val="22"/>
          <w:szCs w:val="22"/>
        </w:rPr>
        <w:t>Adresse postale : Box 1180, Burns Lake, C.-B. V0J 1E0</w:t>
      </w:r>
    </w:p>
    <w:p w14:paraId="2021D577" w14:textId="77777777" w:rsidR="00F468C2" w:rsidRPr="00394FA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eastAsia="en-CA"/>
        </w:rPr>
      </w:pPr>
    </w:p>
    <w:p w14:paraId="4D06F7A4" w14:textId="77777777" w:rsidR="00F468C2" w:rsidRPr="00394FA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eastAsia="en-CA"/>
        </w:rPr>
      </w:pPr>
    </w:p>
    <w:p w14:paraId="1F573E60" w14:textId="77777777" w:rsidR="00F468C2" w:rsidRPr="00394FA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eastAsia="en-CA"/>
        </w:rPr>
      </w:pPr>
    </w:p>
    <w:p w14:paraId="71009CA6" w14:textId="77777777" w:rsidR="00F468C2" w:rsidRPr="00394FAC" w:rsidRDefault="00F468C2" w:rsidP="00F468C2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eastAsia="en-CA"/>
        </w:rPr>
      </w:pPr>
    </w:p>
    <w:p w14:paraId="3F8679DA" w14:textId="77777777" w:rsidR="00241798" w:rsidRPr="00394FAC" w:rsidRDefault="00241798" w:rsidP="001E3CED">
      <w:pPr>
        <w:rPr>
          <w:rFonts w:asciiTheme="minorHAnsi" w:hAnsiTheme="minorHAnsi" w:cstheme="minorBidi"/>
        </w:rPr>
      </w:pPr>
    </w:p>
    <w:sectPr w:rsidR="00241798" w:rsidRPr="00394FAC" w:rsidSect="00A23758">
      <w:pgSz w:w="12240" w:h="15840"/>
      <w:pgMar w:top="81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99954" w14:textId="77777777" w:rsidR="00DA3B86" w:rsidRDefault="00DA3B86" w:rsidP="007E2D54">
      <w:pPr>
        <w:spacing w:after="0" w:line="240" w:lineRule="auto"/>
      </w:pPr>
      <w:r>
        <w:separator/>
      </w:r>
    </w:p>
  </w:endnote>
  <w:endnote w:type="continuationSeparator" w:id="0">
    <w:p w14:paraId="2B4DCB7B" w14:textId="77777777" w:rsidR="00DA3B86" w:rsidRDefault="00DA3B86" w:rsidP="007E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99C76" w14:textId="77777777" w:rsidR="00DA3B86" w:rsidRDefault="00DA3B86" w:rsidP="007E2D54">
      <w:pPr>
        <w:spacing w:after="0" w:line="240" w:lineRule="auto"/>
      </w:pPr>
      <w:r>
        <w:separator/>
      </w:r>
    </w:p>
  </w:footnote>
  <w:footnote w:type="continuationSeparator" w:id="0">
    <w:p w14:paraId="77F3B53D" w14:textId="77777777" w:rsidR="00DA3B86" w:rsidRDefault="00DA3B86" w:rsidP="007E2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A"/>
    <w:rsid w:val="00022FC8"/>
    <w:rsid w:val="00037543"/>
    <w:rsid w:val="000C4CE0"/>
    <w:rsid w:val="000F43F7"/>
    <w:rsid w:val="001429A1"/>
    <w:rsid w:val="00184F1C"/>
    <w:rsid w:val="001B5323"/>
    <w:rsid w:val="001E3CED"/>
    <w:rsid w:val="00210E06"/>
    <w:rsid w:val="00225D4A"/>
    <w:rsid w:val="00241798"/>
    <w:rsid w:val="00244203"/>
    <w:rsid w:val="002A3521"/>
    <w:rsid w:val="002D0BC3"/>
    <w:rsid w:val="00337767"/>
    <w:rsid w:val="0034497E"/>
    <w:rsid w:val="003661DC"/>
    <w:rsid w:val="00376E8F"/>
    <w:rsid w:val="00386C9C"/>
    <w:rsid w:val="00394FAC"/>
    <w:rsid w:val="00396A46"/>
    <w:rsid w:val="003A5BC3"/>
    <w:rsid w:val="004028D8"/>
    <w:rsid w:val="00452209"/>
    <w:rsid w:val="00461212"/>
    <w:rsid w:val="004A0E02"/>
    <w:rsid w:val="004C12FB"/>
    <w:rsid w:val="004D5B00"/>
    <w:rsid w:val="005454DB"/>
    <w:rsid w:val="00587E47"/>
    <w:rsid w:val="005E0DFF"/>
    <w:rsid w:val="005E689E"/>
    <w:rsid w:val="005F3379"/>
    <w:rsid w:val="00644386"/>
    <w:rsid w:val="00654894"/>
    <w:rsid w:val="006978B4"/>
    <w:rsid w:val="006F35D1"/>
    <w:rsid w:val="00711279"/>
    <w:rsid w:val="00716015"/>
    <w:rsid w:val="007477ED"/>
    <w:rsid w:val="007E2D54"/>
    <w:rsid w:val="00820EA9"/>
    <w:rsid w:val="0082623E"/>
    <w:rsid w:val="008A2EA8"/>
    <w:rsid w:val="008B6DA0"/>
    <w:rsid w:val="009404CA"/>
    <w:rsid w:val="00965F0F"/>
    <w:rsid w:val="0097387A"/>
    <w:rsid w:val="009A01AF"/>
    <w:rsid w:val="009B694C"/>
    <w:rsid w:val="00A23758"/>
    <w:rsid w:val="00A237B3"/>
    <w:rsid w:val="00A80ED3"/>
    <w:rsid w:val="00AE18CA"/>
    <w:rsid w:val="00B57DC1"/>
    <w:rsid w:val="00B91135"/>
    <w:rsid w:val="00BC1FE5"/>
    <w:rsid w:val="00BC4DA6"/>
    <w:rsid w:val="00CA05F9"/>
    <w:rsid w:val="00DA3B86"/>
    <w:rsid w:val="00DB0F77"/>
    <w:rsid w:val="00DE3EE7"/>
    <w:rsid w:val="00E47897"/>
    <w:rsid w:val="00E558AE"/>
    <w:rsid w:val="00E642EF"/>
    <w:rsid w:val="00ED500C"/>
    <w:rsid w:val="00F468C2"/>
    <w:rsid w:val="00FC52D4"/>
    <w:rsid w:val="00FC7B6F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8F898"/>
  <w15:chartTrackingRefBased/>
  <w15:docId w15:val="{5EE27BD3-143B-4A0A-A314-97E2899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7A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2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47"/>
    <w:rPr>
      <w:rFonts w:ascii="Segoe UI" w:hAnsi="Segoe UI" w:cs="Segoe UI"/>
      <w:sz w:val="18"/>
      <w:szCs w:val="18"/>
    </w:rPr>
  </w:style>
  <w:style w:type="paragraph" w:customStyle="1" w:styleId="LetterText">
    <w:name w:val="Letter Text"/>
    <w:basedOn w:val="Normal"/>
    <w:rsid w:val="00E558AE"/>
    <w:pPr>
      <w:spacing w:after="240" w:line="240" w:lineRule="auto"/>
      <w:jc w:val="both"/>
    </w:pPr>
    <w:rPr>
      <w:rFonts w:eastAsia="Times New Roman" w:cs="Times New Roman"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94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9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D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DC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F3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aa-acee.gc.ca/050/evaluations/Protection?culture=fr-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MPO-DFO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 Robin</dc:creator>
  <cp:keywords/>
  <dc:description/>
  <cp:lastModifiedBy>Cheung, Jacqueline</cp:lastModifiedBy>
  <cp:revision>2</cp:revision>
  <dcterms:created xsi:type="dcterms:W3CDTF">2022-04-25T18:19:00Z</dcterms:created>
  <dcterms:modified xsi:type="dcterms:W3CDTF">2022-04-25T18:19:00Z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  <property fmtid="{D5CDD505-2E9C-101B-9397-08002B2CF9AE}" pid="8" name="RunPrepV5.0.2">
    <vt:lpwstr>2021-10-08 09:21:19</vt:lpwstr>
  </property>
</Properties>
</file>