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1AFA" w14:textId="77777777" w:rsidR="006B700C" w:rsidRPr="001A5304" w:rsidRDefault="006B700C" w:rsidP="006B700C">
      <w:pPr>
        <w:pStyle w:val="Heading1"/>
        <w:rPr>
          <w:lang w:val="fr-CA"/>
        </w:rPr>
      </w:pPr>
      <w:bookmarkStart w:id="0" w:name="_Toc13819789"/>
      <w:bookmarkStart w:id="1" w:name="_Toc13823191"/>
      <w:bookmarkStart w:id="2" w:name="_Toc14963752"/>
      <w:bookmarkStart w:id="3" w:name="_Toc14966150"/>
      <w:bookmarkStart w:id="4" w:name="_Toc14966199"/>
      <w:bookmarkStart w:id="5" w:name="_Toc15075289"/>
      <w:r w:rsidRPr="001A5304">
        <w:rPr>
          <w:lang w:val="fr-CA"/>
        </w:rPr>
        <w:t>Avis public</w:t>
      </w:r>
    </w:p>
    <w:p w14:paraId="2362BAB0" w14:textId="461B9B7A" w:rsidR="00532426" w:rsidRPr="004A130F" w:rsidRDefault="00532426" w:rsidP="00532426">
      <w:pPr>
        <w:pStyle w:val="LetterText"/>
        <w:jc w:val="left"/>
        <w:rPr>
          <w:rFonts w:asciiTheme="minorHAnsi" w:eastAsiaTheme="minorHAnsi" w:hAnsiTheme="minorHAnsi" w:cstheme="minorBidi"/>
          <w:sz w:val="22"/>
          <w:szCs w:val="22"/>
          <w:lang w:val="fr-CA"/>
        </w:rPr>
      </w:pPr>
      <w:bookmarkStart w:id="6" w:name="_Toc13819790"/>
      <w:bookmarkStart w:id="7" w:name="_Toc13823192"/>
      <w:bookmarkStart w:id="8" w:name="_Toc14963753"/>
      <w:bookmarkStart w:id="9" w:name="_Toc14966151"/>
      <w:bookmarkStart w:id="10" w:name="_Toc14966200"/>
      <w:bookmarkStart w:id="11" w:name="_Toc15075290"/>
      <w:bookmarkEnd w:id="0"/>
      <w:bookmarkEnd w:id="1"/>
      <w:bookmarkEnd w:id="2"/>
      <w:bookmarkEnd w:id="3"/>
      <w:bookmarkEnd w:id="4"/>
      <w:bookmarkEnd w:id="5"/>
      <w:r>
        <w:rPr>
          <w:rFonts w:asciiTheme="minorHAnsi" w:eastAsiaTheme="minorHAnsi" w:hAnsiTheme="minorHAnsi" w:cstheme="minorBidi"/>
          <w:sz w:val="22"/>
          <w:szCs w:val="22"/>
          <w:lang w:val="fr-CA"/>
        </w:rPr>
        <w:t xml:space="preserve">Phare de l’île </w:t>
      </w:r>
      <w:r w:rsidRPr="004A130F">
        <w:rPr>
          <w:rFonts w:asciiTheme="minorHAnsi" w:eastAsiaTheme="minorHAnsi" w:hAnsiTheme="minorHAnsi" w:cstheme="minorBidi"/>
          <w:sz w:val="22"/>
          <w:szCs w:val="22"/>
          <w:lang w:val="fr-CA"/>
        </w:rPr>
        <w:t>Green</w:t>
      </w:r>
      <w:r>
        <w:rPr>
          <w:rFonts w:asciiTheme="minorHAnsi" w:eastAsiaTheme="minorHAnsi" w:hAnsiTheme="minorHAnsi" w:cstheme="minorBidi"/>
          <w:sz w:val="22"/>
          <w:szCs w:val="22"/>
          <w:lang w:val="fr-CA"/>
        </w:rPr>
        <w:t xml:space="preserve"> </w:t>
      </w:r>
      <w:r w:rsidRPr="004A130F">
        <w:rPr>
          <w:rFonts w:asciiTheme="minorHAnsi" w:eastAsiaTheme="minorHAnsi" w:hAnsiTheme="minorHAnsi" w:cstheme="minorBidi"/>
          <w:sz w:val="22"/>
          <w:szCs w:val="22"/>
          <w:lang w:val="fr-CA"/>
        </w:rPr>
        <w:t xml:space="preserve">– </w:t>
      </w:r>
      <w:r w:rsidR="001C1833">
        <w:rPr>
          <w:rFonts w:asciiTheme="minorHAnsi" w:eastAsiaTheme="minorHAnsi" w:hAnsiTheme="minorHAnsi" w:cstheme="minorBidi"/>
          <w:sz w:val="22"/>
          <w:szCs w:val="22"/>
          <w:lang w:val="fr-CA"/>
        </w:rPr>
        <w:t>Projet d’énergie renouvelable solaire et éolienne</w:t>
      </w:r>
    </w:p>
    <w:bookmarkEnd w:id="6"/>
    <w:bookmarkEnd w:id="7"/>
    <w:bookmarkEnd w:id="8"/>
    <w:bookmarkEnd w:id="9"/>
    <w:bookmarkEnd w:id="10"/>
    <w:bookmarkEnd w:id="11"/>
    <w:p w14:paraId="2F623628" w14:textId="32ADA18F" w:rsidR="004028D8" w:rsidRPr="00172D05" w:rsidRDefault="006B700C" w:rsidP="00022FC8">
      <w:pPr>
        <w:pStyle w:val="Heading1"/>
        <w:rPr>
          <w:lang w:val="fr-CA"/>
        </w:rPr>
      </w:pPr>
      <w:r w:rsidRPr="00172D05">
        <w:rPr>
          <w:lang w:val="fr-CA"/>
        </w:rPr>
        <w:t>Période de Consultation publique</w:t>
      </w:r>
    </w:p>
    <w:p w14:paraId="65C45D1E" w14:textId="5ECFBF71" w:rsidR="001E3CED" w:rsidRPr="00172D05" w:rsidRDefault="001C1833" w:rsidP="004028D8">
      <w:pPr>
        <w:rPr>
          <w:rFonts w:asciiTheme="minorHAnsi" w:hAnsiTheme="minorHAnsi" w:cstheme="minorBidi"/>
          <w:b/>
          <w:lang w:val="fr-CA"/>
        </w:rPr>
      </w:pPr>
      <w:r w:rsidRPr="00172D05">
        <w:rPr>
          <w:rFonts w:asciiTheme="minorHAnsi" w:hAnsiTheme="minorHAnsi" w:cstheme="minorHAnsi"/>
          <w:b/>
          <w:lang w:val="fr-CA"/>
        </w:rPr>
        <w:t>10 n</w:t>
      </w:r>
      <w:r w:rsidR="001A36A6" w:rsidRPr="00172D05">
        <w:rPr>
          <w:rFonts w:asciiTheme="minorHAnsi" w:hAnsiTheme="minorHAnsi" w:cstheme="minorHAnsi"/>
          <w:b/>
          <w:lang w:val="fr-CA"/>
        </w:rPr>
        <w:t>ovemb</w:t>
      </w:r>
      <w:r w:rsidRPr="00172D05">
        <w:rPr>
          <w:rFonts w:asciiTheme="minorHAnsi" w:hAnsiTheme="minorHAnsi" w:cstheme="minorHAnsi"/>
          <w:b/>
          <w:lang w:val="fr-CA"/>
        </w:rPr>
        <w:t>re</w:t>
      </w:r>
      <w:r w:rsidR="001A36A6" w:rsidRPr="00172D05">
        <w:rPr>
          <w:rFonts w:asciiTheme="minorHAnsi" w:hAnsiTheme="minorHAnsi" w:cstheme="minorHAnsi"/>
          <w:b/>
          <w:lang w:val="fr-CA"/>
        </w:rPr>
        <w:t xml:space="preserve"> </w:t>
      </w:r>
      <w:r w:rsidR="00654894" w:rsidRPr="00172D05">
        <w:rPr>
          <w:rFonts w:asciiTheme="minorHAnsi" w:hAnsiTheme="minorHAnsi" w:cstheme="minorHAnsi"/>
          <w:b/>
          <w:lang w:val="fr-CA"/>
        </w:rPr>
        <w:t>2021</w:t>
      </w:r>
      <w:r w:rsidR="00654894" w:rsidRPr="00172D05">
        <w:rPr>
          <w:rFonts w:asciiTheme="minorHAnsi" w:hAnsiTheme="minorHAnsi" w:cstheme="minorHAnsi"/>
          <w:lang w:val="fr-CA"/>
        </w:rPr>
        <w:t xml:space="preserve"> </w:t>
      </w:r>
      <w:r w:rsidR="001E3CED" w:rsidRPr="00172D05">
        <w:rPr>
          <w:rFonts w:asciiTheme="minorHAnsi" w:hAnsiTheme="minorHAnsi" w:cstheme="minorHAnsi"/>
          <w:lang w:val="fr-CA"/>
        </w:rPr>
        <w:t>-</w:t>
      </w:r>
      <w:r w:rsidR="001E3CED" w:rsidRPr="00172D05">
        <w:rPr>
          <w:rFonts w:asciiTheme="minorHAnsi" w:hAnsiTheme="minorHAnsi" w:cstheme="minorBidi"/>
          <w:lang w:val="fr-CA"/>
        </w:rPr>
        <w:t xml:space="preserve"> </w:t>
      </w:r>
      <w:r w:rsidR="00936F5E" w:rsidRPr="00AF7709">
        <w:rPr>
          <w:rFonts w:asciiTheme="minorHAnsi" w:hAnsiTheme="minorHAnsi" w:cstheme="minorHAnsi"/>
          <w:lang w:val="fr-CA"/>
        </w:rPr>
        <w:t xml:space="preserve">Pêches et Océans Canada doit décider </w:t>
      </w:r>
      <w:r w:rsidR="00936F5E" w:rsidRPr="00172D05">
        <w:rPr>
          <w:rFonts w:asciiTheme="minorHAnsi" w:hAnsiTheme="minorHAnsi" w:cstheme="minorHAnsi"/>
          <w:lang w:val="fr-CA"/>
        </w:rPr>
        <w:t>si le projet d’</w:t>
      </w:r>
      <w:r w:rsidR="00AF7709" w:rsidRPr="00172D05">
        <w:rPr>
          <w:rFonts w:asciiTheme="minorHAnsi" w:hAnsiTheme="minorHAnsi" w:cstheme="minorHAnsi"/>
          <w:lang w:val="fr-CA"/>
        </w:rPr>
        <w:t>installation d’un système d’énergie renouvelable solaire et éolienne, situé sur l’île Green (C.-B.)</w:t>
      </w:r>
      <w:r w:rsidR="00AF7709" w:rsidRPr="00AF7709">
        <w:rPr>
          <w:rFonts w:asciiTheme="minorHAnsi" w:hAnsiTheme="minorHAnsi" w:cstheme="minorHAnsi"/>
          <w:lang w:val="fr-CA"/>
        </w:rPr>
        <w:t xml:space="preserve"> e</w:t>
      </w:r>
      <w:r w:rsidR="00AF7709" w:rsidRPr="00172D05">
        <w:rPr>
          <w:rFonts w:asciiTheme="minorHAnsi" w:hAnsiTheme="minorHAnsi" w:cstheme="minorHAnsi"/>
          <w:lang w:val="fr-CA"/>
        </w:rPr>
        <w:t>st susceptible d’entraîner des effets environnementaux négatifs importants.</w:t>
      </w:r>
    </w:p>
    <w:p w14:paraId="393537C4" w14:textId="55928ED4" w:rsidR="004028D8" w:rsidRPr="00172D05" w:rsidRDefault="001C1833" w:rsidP="004028D8">
      <w:pPr>
        <w:rPr>
          <w:rFonts w:asciiTheme="minorHAnsi" w:hAnsiTheme="minorHAnsi" w:cstheme="minorHAnsi"/>
          <w:lang w:val="fr-CA"/>
        </w:rPr>
      </w:pPr>
      <w:r w:rsidRPr="001C1833">
        <w:rPr>
          <w:rFonts w:asciiTheme="minorHAnsi" w:hAnsiTheme="minorHAnsi" w:cstheme="minorHAnsi"/>
          <w:lang w:val="fr-CA"/>
        </w:rPr>
        <w:t xml:space="preserve">Le projet est affiché à nouveau suite à une réévaluation de l’étendue des travaux. </w:t>
      </w:r>
      <w:r w:rsidRPr="00172D05">
        <w:rPr>
          <w:rFonts w:asciiTheme="minorHAnsi" w:hAnsiTheme="minorHAnsi" w:cstheme="minorHAnsi"/>
          <w:lang w:val="fr-CA"/>
        </w:rPr>
        <w:t xml:space="preserve">Afin d’orienter cette prise de </w:t>
      </w:r>
      <w:r w:rsidR="006B700C" w:rsidRPr="00ED21CB">
        <w:rPr>
          <w:rFonts w:asciiTheme="minorHAnsi" w:hAnsiTheme="minorHAnsi" w:cstheme="minorHAnsi"/>
          <w:lang w:val="fr-CA"/>
        </w:rPr>
        <w:t>dé</w:t>
      </w:r>
      <w:r w:rsidRPr="00172D05">
        <w:rPr>
          <w:rFonts w:asciiTheme="minorHAnsi" w:hAnsiTheme="minorHAnsi" w:cstheme="minorHAnsi"/>
          <w:lang w:val="fr-CA"/>
        </w:rPr>
        <w:t xml:space="preserve">cision, Pêches et Océans Canada sollicite les commentaires publics sur le projet et </w:t>
      </w:r>
      <w:r>
        <w:rPr>
          <w:rFonts w:asciiTheme="minorHAnsi" w:hAnsiTheme="minorHAnsi" w:cstheme="minorHAnsi"/>
          <w:lang w:val="fr-CA"/>
        </w:rPr>
        <w:t>les effets nocifs potentiels qu’il</w:t>
      </w:r>
      <w:r w:rsidRPr="001C1833">
        <w:rPr>
          <w:rFonts w:asciiTheme="minorHAnsi" w:hAnsiTheme="minorHAnsi" w:cstheme="minorHAnsi"/>
          <w:lang w:val="fr-CA"/>
        </w:rPr>
        <w:t xml:space="preserve"> risque de poser</w:t>
      </w:r>
      <w:r>
        <w:rPr>
          <w:rFonts w:asciiTheme="minorHAnsi" w:hAnsiTheme="minorHAnsi" w:cstheme="minorHAnsi"/>
          <w:lang w:val="fr-CA"/>
        </w:rPr>
        <w:t xml:space="preserve"> sur l’environnement</w:t>
      </w:r>
      <w:r w:rsidR="004028D8" w:rsidRPr="00172D05">
        <w:rPr>
          <w:rFonts w:asciiTheme="minorHAnsi" w:hAnsiTheme="minorHAnsi" w:cstheme="minorHAnsi"/>
          <w:lang w:val="fr-CA"/>
        </w:rPr>
        <w:t>.</w:t>
      </w:r>
      <w:r w:rsidRPr="00172D05">
        <w:rPr>
          <w:lang w:val="fr-CA"/>
        </w:rPr>
        <w:t xml:space="preserve"> </w:t>
      </w:r>
      <w:r w:rsidRPr="001C1833">
        <w:rPr>
          <w:rFonts w:asciiTheme="minorHAnsi" w:hAnsiTheme="minorHAnsi" w:cstheme="minorHAnsi"/>
          <w:lang w:val="fr-CA"/>
        </w:rPr>
        <w:t xml:space="preserve">Tous les commentaires reçus seront considérés comme publics. Pour de plus amples renseignements, les personnes intéressées sont invitées à consulter </w:t>
      </w:r>
      <w:hyperlink r:id="rId5" w:history="1">
        <w:r w:rsidRPr="00ED21CB">
          <w:rPr>
            <w:rStyle w:val="Hyperlink"/>
            <w:rFonts w:asciiTheme="minorHAnsi" w:hAnsiTheme="minorHAnsi" w:cstheme="minorHAnsi"/>
            <w:lang w:val="fr-CA"/>
          </w:rPr>
          <w:t>l’avis de confidentialité</w:t>
        </w:r>
      </w:hyperlink>
      <w:r w:rsidRPr="001C1833">
        <w:rPr>
          <w:rFonts w:asciiTheme="minorHAnsi" w:hAnsiTheme="minorHAnsi" w:cstheme="minorHAnsi"/>
          <w:lang w:val="fr-CA"/>
        </w:rPr>
        <w:t xml:space="preserve"> sur le site Web du Registre. </w:t>
      </w:r>
      <w:r w:rsidR="004028D8" w:rsidRPr="00172D05">
        <w:rPr>
          <w:rFonts w:asciiTheme="minorHAnsi" w:hAnsiTheme="minorHAnsi" w:cstheme="minorHAnsi"/>
          <w:lang w:val="fr-CA"/>
        </w:rPr>
        <w:t xml:space="preserve"> </w:t>
      </w:r>
    </w:p>
    <w:p w14:paraId="49A93B4F" w14:textId="54F660C4" w:rsidR="001E3CED" w:rsidRPr="00172D05" w:rsidRDefault="001C1833" w:rsidP="001E3CED">
      <w:pPr>
        <w:rPr>
          <w:rFonts w:asciiTheme="minorHAnsi" w:hAnsiTheme="minorHAnsi" w:cstheme="minorHAnsi"/>
          <w:lang w:val="fr-CA"/>
        </w:rPr>
      </w:pPr>
      <w:r w:rsidRPr="00172D05">
        <w:rPr>
          <w:rFonts w:asciiTheme="minorHAnsi" w:hAnsiTheme="minorHAnsi" w:cstheme="minorHAnsi"/>
          <w:lang w:val="fr-CA"/>
        </w:rPr>
        <w:t>Les commentaires écrits doivent être soumis d’ici le</w:t>
      </w:r>
      <w:r>
        <w:rPr>
          <w:rFonts w:asciiTheme="minorHAnsi" w:hAnsiTheme="minorHAnsi" w:cstheme="minorHAnsi"/>
          <w:b/>
          <w:lang w:val="fr-CA"/>
        </w:rPr>
        <w:t xml:space="preserve"> 10 décembre 2021</w:t>
      </w:r>
      <w:r w:rsidR="00ED21CB">
        <w:rPr>
          <w:rFonts w:asciiTheme="minorHAnsi" w:hAnsiTheme="minorHAnsi" w:cstheme="minorHAnsi"/>
          <w:b/>
          <w:lang w:val="fr-CA"/>
        </w:rPr>
        <w:t xml:space="preserve"> </w:t>
      </w:r>
      <w:r w:rsidRPr="00172D05">
        <w:rPr>
          <w:rFonts w:asciiTheme="minorHAnsi" w:hAnsiTheme="minorHAnsi" w:cstheme="minorHAnsi"/>
          <w:lang w:val="fr-CA"/>
        </w:rPr>
        <w:t>à</w:t>
      </w:r>
      <w:r w:rsidR="004028D8" w:rsidRPr="00172D05">
        <w:rPr>
          <w:rFonts w:asciiTheme="minorHAnsi" w:hAnsiTheme="minorHAnsi" w:cstheme="minorHAnsi"/>
          <w:lang w:val="fr-CA"/>
        </w:rPr>
        <w:t>:</w:t>
      </w:r>
    </w:p>
    <w:p w14:paraId="7C552F1F" w14:textId="77777777" w:rsidR="001E3CED" w:rsidRPr="00172D05" w:rsidRDefault="001E3CED" w:rsidP="001E3CED">
      <w:pPr>
        <w:rPr>
          <w:rFonts w:asciiTheme="minorHAnsi" w:hAnsiTheme="minorHAnsi" w:cstheme="minorHAnsi"/>
          <w:lang w:val="fr-FR"/>
        </w:rPr>
      </w:pPr>
      <w:r w:rsidRPr="00172D05">
        <w:rPr>
          <w:rFonts w:asciiTheme="minorHAnsi" w:hAnsiTheme="minorHAnsi" w:cstheme="minorHAnsi"/>
          <w:lang w:val="fr-FR"/>
        </w:rPr>
        <w:t>Emily Sapsford</w:t>
      </w:r>
    </w:p>
    <w:p w14:paraId="6AFDA7E7" w14:textId="0AEB24E2" w:rsidR="001E3CED" w:rsidRPr="00172D05" w:rsidRDefault="00532426" w:rsidP="001E3CED">
      <w:pPr>
        <w:rPr>
          <w:rFonts w:asciiTheme="minorHAnsi" w:hAnsiTheme="minorHAnsi" w:cstheme="minorHAnsi"/>
          <w:lang w:val="fr-CA"/>
        </w:rPr>
      </w:pPr>
      <w:r w:rsidRPr="00172D05">
        <w:rPr>
          <w:rFonts w:asciiTheme="minorHAnsi" w:hAnsiTheme="minorHAnsi" w:cstheme="minorHAnsi"/>
          <w:lang w:val="fr-CA"/>
        </w:rPr>
        <w:t>Ingénieure de Projet</w:t>
      </w:r>
    </w:p>
    <w:p w14:paraId="561BEFA0" w14:textId="77777777" w:rsidR="006B700C" w:rsidRDefault="001C1833" w:rsidP="001E3CED">
      <w:pPr>
        <w:rPr>
          <w:rFonts w:asciiTheme="minorHAnsi" w:hAnsiTheme="minorHAnsi" w:cstheme="minorHAnsi"/>
          <w:lang w:val="fr-CA"/>
        </w:rPr>
      </w:pPr>
      <w:r w:rsidRPr="00172D05">
        <w:rPr>
          <w:rFonts w:asciiTheme="minorHAnsi" w:hAnsiTheme="minorHAnsi" w:cstheme="minorHAnsi"/>
          <w:lang w:val="fr-CA"/>
        </w:rPr>
        <w:t>Pêches et Océans Canada, région Pacifique</w:t>
      </w:r>
    </w:p>
    <w:p w14:paraId="693F9349" w14:textId="697FD0ED" w:rsidR="001E3CED" w:rsidRPr="00172D05" w:rsidRDefault="001C1833" w:rsidP="001E3CED">
      <w:pPr>
        <w:rPr>
          <w:lang w:val="fr-CA"/>
        </w:rPr>
      </w:pPr>
      <w:r w:rsidRPr="00172D05">
        <w:rPr>
          <w:rFonts w:asciiTheme="minorHAnsi" w:hAnsiTheme="minorHAnsi" w:cstheme="minorHAnsi"/>
          <w:lang w:val="fr-CA"/>
        </w:rPr>
        <w:t>Biens immobiliers, protection et sécurité</w:t>
      </w:r>
    </w:p>
    <w:p w14:paraId="470244C4" w14:textId="677EF9EC" w:rsidR="001E3CED" w:rsidRPr="00172D05" w:rsidRDefault="001C1833" w:rsidP="001E3CED">
      <w:pPr>
        <w:rPr>
          <w:rFonts w:asciiTheme="minorHAnsi" w:hAnsiTheme="minorHAnsi" w:cstheme="minorHAnsi"/>
          <w:lang w:val="fr-CA"/>
        </w:rPr>
      </w:pPr>
      <w:r w:rsidRPr="00172D05">
        <w:rPr>
          <w:rFonts w:asciiTheme="minorHAnsi" w:hAnsiTheme="minorHAnsi" w:cstheme="minorHAnsi"/>
          <w:lang w:val="fr-CA"/>
        </w:rPr>
        <w:t>Téléphone</w:t>
      </w:r>
      <w:r w:rsidR="001E3CED" w:rsidRPr="00172D05">
        <w:rPr>
          <w:rFonts w:asciiTheme="minorHAnsi" w:hAnsiTheme="minorHAnsi" w:cstheme="minorHAnsi"/>
          <w:lang w:val="fr-CA"/>
        </w:rPr>
        <w:t>: 250-217-0323</w:t>
      </w:r>
    </w:p>
    <w:p w14:paraId="3D14E699" w14:textId="0D46CD2C" w:rsidR="001E3CED" w:rsidRPr="00172D05" w:rsidRDefault="001C1833" w:rsidP="001E3CED">
      <w:pPr>
        <w:rPr>
          <w:rFonts w:asciiTheme="minorHAnsi" w:hAnsiTheme="minorHAnsi" w:cstheme="minorHAnsi"/>
          <w:lang w:val="fr-CA"/>
        </w:rPr>
      </w:pPr>
      <w:r w:rsidRPr="00172D05">
        <w:rPr>
          <w:rFonts w:asciiTheme="minorHAnsi" w:hAnsiTheme="minorHAnsi" w:cstheme="minorHAnsi"/>
          <w:lang w:val="fr-CA"/>
        </w:rPr>
        <w:t>Courriel</w:t>
      </w:r>
      <w:r w:rsidR="001E3CED" w:rsidRPr="00172D05">
        <w:rPr>
          <w:rFonts w:asciiTheme="minorHAnsi" w:hAnsiTheme="minorHAnsi" w:cstheme="minorHAnsi"/>
          <w:lang w:val="fr-CA"/>
        </w:rPr>
        <w:t>: Emily.Sapsford@dfo-mpo.gc.ca</w:t>
      </w:r>
    </w:p>
    <w:p w14:paraId="65DF5BCA" w14:textId="720D81BA" w:rsidR="004028D8" w:rsidRPr="00172D05" w:rsidRDefault="001F1875" w:rsidP="001E3CED">
      <w:pPr>
        <w:pStyle w:val="Heading1"/>
        <w:rPr>
          <w:lang w:val="fr-CA"/>
        </w:rPr>
      </w:pPr>
      <w:r w:rsidRPr="00172D05">
        <w:rPr>
          <w:lang w:val="fr-CA"/>
        </w:rPr>
        <w:lastRenderedPageBreak/>
        <w:t>Résumé du Projet</w:t>
      </w:r>
    </w:p>
    <w:p w14:paraId="3CA885A3" w14:textId="77777777" w:rsidR="00532426" w:rsidRPr="00532426" w:rsidRDefault="00532426" w:rsidP="00532426">
      <w:pPr>
        <w:spacing w:after="160" w:line="240" w:lineRule="auto"/>
        <w:jc w:val="both"/>
        <w:rPr>
          <w:rFonts w:asciiTheme="minorHAnsi" w:hAnsiTheme="minorHAnsi" w:cstheme="minorBidi"/>
          <w:lang w:val="fr-CA"/>
        </w:rPr>
      </w:pPr>
      <w:r w:rsidRPr="00532426">
        <w:rPr>
          <w:rFonts w:asciiTheme="minorHAnsi" w:hAnsiTheme="minorHAnsi" w:cstheme="minorBidi"/>
          <w:lang w:val="fr-CA"/>
        </w:rPr>
        <w:t>Le MPO et la GCC proposent d’installer deux éoliennes miniatures de 9 mètres, une couche d’entretien en gravier et une canalisation électrique comme composantes obligatoires du nouveau système d’énergie renouvelable éolienne et solaire au phare de l’île Green. Les fondations pour les éoliennes et les panneaux solaires ont déjà été coulées. L’île Green est actuellement alimentée exclusivement par du carburant diesel. La technologie des énergies renouvelables a progressé ces dernières années. La fiabilité et l’efficacité se sont considérablement améliorées depuis les premières versions. Afin de réduire la consommation de carburant, d’alléger la charge des générateurs diesel sur le site et de réduire l’empreinte carbone du phare, le MPO a installé un système hybride d’énergie renouvelable composé de panneaux solaires et de turbines éoliennes. L’achèvement de cette canalisation électrique complétera l’installation du système d’énergie renouvelable et contribuera à la Stratégie pour un gouvernement vert du gouvernement du Canada qui vise l’atteinte de zéro émissions nettes d’ici 2050. La construction proposée de la canalisation électrique nécessitera l’installation de :</w:t>
      </w:r>
    </w:p>
    <w:p w14:paraId="281B86AC" w14:textId="4C3DA91B" w:rsidR="00532426" w:rsidRPr="00532426" w:rsidRDefault="00532426" w:rsidP="00532426">
      <w:pPr>
        <w:numPr>
          <w:ilvl w:val="0"/>
          <w:numId w:val="1"/>
        </w:numPr>
        <w:spacing w:after="160" w:line="259" w:lineRule="auto"/>
        <w:contextualSpacing/>
        <w:jc w:val="both"/>
        <w:rPr>
          <w:rFonts w:asciiTheme="minorHAnsi" w:hAnsiTheme="minorHAnsi" w:cstheme="minorBidi"/>
          <w:lang w:val="fr-CA"/>
        </w:rPr>
      </w:pPr>
      <w:r w:rsidRPr="00532426">
        <w:rPr>
          <w:rFonts w:asciiTheme="minorHAnsi" w:hAnsiTheme="minorHAnsi"/>
          <w:lang w:val="fr-CA"/>
        </w:rPr>
        <w:t>(2) conduites électriques de 4 po de diamètre, (2) conduites électriques de 3 po de diamètre, et (1) conduite électrique de 1 po de diamètre, à au moins 0,75 m sous terre et au moins 0,5 m au-dessus du sol. La longueur to</w:t>
      </w:r>
      <w:r w:rsidR="00E128B6">
        <w:rPr>
          <w:rFonts w:asciiTheme="minorHAnsi" w:hAnsiTheme="minorHAnsi"/>
          <w:lang w:val="fr-CA"/>
        </w:rPr>
        <w:t>tale de la conduite est de 50 m;</w:t>
      </w:r>
      <w:r w:rsidRPr="00532426">
        <w:rPr>
          <w:rFonts w:asciiTheme="minorHAnsi" w:hAnsiTheme="minorHAnsi"/>
          <w:lang w:val="fr-CA"/>
        </w:rPr>
        <w:t xml:space="preserve"> </w:t>
      </w:r>
    </w:p>
    <w:p w14:paraId="430A40C3" w14:textId="77777777" w:rsidR="00532426" w:rsidRPr="00532426" w:rsidRDefault="00532426" w:rsidP="00532426">
      <w:pPr>
        <w:numPr>
          <w:ilvl w:val="0"/>
          <w:numId w:val="1"/>
        </w:numPr>
        <w:spacing w:after="160" w:line="259" w:lineRule="auto"/>
        <w:contextualSpacing/>
        <w:jc w:val="both"/>
        <w:rPr>
          <w:rFonts w:asciiTheme="minorHAnsi" w:hAnsiTheme="minorHAnsi" w:cstheme="minorBidi"/>
          <w:lang w:val="fr-CA"/>
        </w:rPr>
      </w:pPr>
      <w:r w:rsidRPr="00532426">
        <w:rPr>
          <w:rFonts w:asciiTheme="minorHAnsi" w:hAnsiTheme="minorHAnsi" w:cstheme="minorBidi"/>
          <w:lang w:val="fr-CA"/>
        </w:rPr>
        <w:t>(2) éoliennes sur les fondations existantes;</w:t>
      </w:r>
    </w:p>
    <w:p w14:paraId="7B634F3B" w14:textId="77777777" w:rsidR="00532426" w:rsidRPr="00532426" w:rsidRDefault="00532426" w:rsidP="00532426">
      <w:pPr>
        <w:numPr>
          <w:ilvl w:val="0"/>
          <w:numId w:val="1"/>
        </w:numPr>
        <w:spacing w:after="160" w:line="259" w:lineRule="auto"/>
        <w:contextualSpacing/>
        <w:jc w:val="both"/>
        <w:rPr>
          <w:rFonts w:asciiTheme="minorHAnsi" w:hAnsiTheme="minorHAnsi" w:cstheme="minorBidi"/>
          <w:lang w:val="fr-CA"/>
        </w:rPr>
      </w:pPr>
      <w:r w:rsidRPr="00532426">
        <w:rPr>
          <w:rFonts w:asciiTheme="minorHAnsi" w:hAnsiTheme="minorHAnsi" w:cstheme="minorBidi"/>
          <w:lang w:val="fr-CA"/>
        </w:rPr>
        <w:t>(1) couche d’entretien en gravier;</w:t>
      </w:r>
    </w:p>
    <w:p w14:paraId="2BE374D5" w14:textId="77777777" w:rsidR="00532426" w:rsidRPr="00532426" w:rsidRDefault="00532426" w:rsidP="00532426">
      <w:pPr>
        <w:numPr>
          <w:ilvl w:val="0"/>
          <w:numId w:val="1"/>
        </w:numPr>
        <w:spacing w:after="160" w:line="259" w:lineRule="auto"/>
        <w:contextualSpacing/>
        <w:jc w:val="both"/>
        <w:rPr>
          <w:rFonts w:asciiTheme="minorHAnsi" w:hAnsiTheme="minorHAnsi" w:cstheme="minorBidi"/>
          <w:lang w:val="fr-CA"/>
        </w:rPr>
      </w:pPr>
      <w:r w:rsidRPr="00532426">
        <w:rPr>
          <w:rFonts w:asciiTheme="minorHAnsi" w:hAnsiTheme="minorHAnsi" w:cstheme="minorBidi"/>
          <w:lang w:val="fr-CA"/>
        </w:rPr>
        <w:t>(2) interrupteurs d’isolement 200A, fusible 40A pour (2) éoliennes;</w:t>
      </w:r>
    </w:p>
    <w:p w14:paraId="5005E685" w14:textId="77777777" w:rsidR="00532426" w:rsidRPr="00532426" w:rsidRDefault="00532426" w:rsidP="00532426">
      <w:pPr>
        <w:numPr>
          <w:ilvl w:val="0"/>
          <w:numId w:val="1"/>
        </w:numPr>
        <w:spacing w:after="160" w:line="259" w:lineRule="auto"/>
        <w:contextualSpacing/>
        <w:jc w:val="both"/>
        <w:rPr>
          <w:rFonts w:asciiTheme="minorHAnsi" w:hAnsiTheme="minorHAnsi" w:cstheme="minorBidi"/>
          <w:lang w:val="fr-CA"/>
        </w:rPr>
      </w:pPr>
      <w:r w:rsidRPr="00532426">
        <w:rPr>
          <w:rFonts w:asciiTheme="minorHAnsi" w:hAnsiTheme="minorHAnsi" w:cstheme="minorBidi"/>
          <w:lang w:val="fr-CA"/>
        </w:rPr>
        <w:t>Boites de tirage de type (10);</w:t>
      </w:r>
    </w:p>
    <w:p w14:paraId="0D695FAD" w14:textId="324E17DD" w:rsidR="00532426" w:rsidRPr="00532426" w:rsidRDefault="00532426" w:rsidP="00532426">
      <w:pPr>
        <w:numPr>
          <w:ilvl w:val="0"/>
          <w:numId w:val="1"/>
        </w:numPr>
        <w:spacing w:after="160" w:line="259" w:lineRule="auto"/>
        <w:contextualSpacing/>
        <w:jc w:val="both"/>
        <w:rPr>
          <w:rFonts w:asciiTheme="minorHAnsi" w:hAnsiTheme="minorHAnsi" w:cstheme="minorBidi"/>
          <w:lang w:val="fr-CA"/>
        </w:rPr>
      </w:pPr>
      <w:r w:rsidRPr="00532426">
        <w:rPr>
          <w:rFonts w:asciiTheme="minorHAnsi" w:hAnsiTheme="minorHAnsi" w:cstheme="minorBidi"/>
          <w:lang w:val="fr-CA"/>
        </w:rPr>
        <w:t>Les travaux devraient durer 12 jours avec une équipe</w:t>
      </w:r>
      <w:r w:rsidR="00E128B6">
        <w:rPr>
          <w:rFonts w:asciiTheme="minorHAnsi" w:hAnsiTheme="minorHAnsi" w:cstheme="minorBidi"/>
          <w:lang w:val="fr-CA"/>
        </w:rPr>
        <w:t xml:space="preserve"> de quatre ou cinq travailleurs;</w:t>
      </w:r>
    </w:p>
    <w:p w14:paraId="1E881DC8" w14:textId="77777777" w:rsidR="00532426" w:rsidRPr="00532426" w:rsidRDefault="00532426" w:rsidP="00532426">
      <w:pPr>
        <w:numPr>
          <w:ilvl w:val="0"/>
          <w:numId w:val="1"/>
        </w:numPr>
        <w:spacing w:after="160" w:line="259" w:lineRule="auto"/>
        <w:contextualSpacing/>
        <w:jc w:val="both"/>
        <w:rPr>
          <w:rFonts w:asciiTheme="minorHAnsi" w:hAnsiTheme="minorHAnsi" w:cstheme="minorBidi"/>
          <w:lang w:val="fr-CA"/>
        </w:rPr>
      </w:pPr>
      <w:r w:rsidRPr="00532426">
        <w:rPr>
          <w:rFonts w:asciiTheme="minorHAnsi" w:hAnsiTheme="minorHAnsi" w:cstheme="minorBidi"/>
          <w:lang w:val="fr-CA"/>
        </w:rPr>
        <w:t>Améliorations à la salle des batteries, notamment les lumières et la ventilation; et,</w:t>
      </w:r>
    </w:p>
    <w:p w14:paraId="66EB4264" w14:textId="77777777" w:rsidR="00532426" w:rsidRPr="00532426" w:rsidRDefault="00532426" w:rsidP="00532426">
      <w:pPr>
        <w:numPr>
          <w:ilvl w:val="0"/>
          <w:numId w:val="1"/>
        </w:numPr>
        <w:spacing w:after="160" w:line="259" w:lineRule="auto"/>
        <w:contextualSpacing/>
        <w:jc w:val="both"/>
        <w:rPr>
          <w:rFonts w:asciiTheme="minorHAnsi" w:hAnsiTheme="minorHAnsi" w:cstheme="minorBidi"/>
          <w:lang w:val="fr-CA"/>
        </w:rPr>
      </w:pPr>
      <w:r w:rsidRPr="00532426">
        <w:rPr>
          <w:rFonts w:asciiTheme="minorHAnsi" w:hAnsiTheme="minorHAnsi" w:cstheme="minorBidi"/>
          <w:lang w:val="fr-CA"/>
        </w:rPr>
        <w:t xml:space="preserve">De possibles modifications aux fondations des panneaux solaires. Dans l’éventualité où des coulées de béton additionnelles soient requises, des mesures de mitigations environnementales seront mises en place. </w:t>
      </w:r>
    </w:p>
    <w:p w14:paraId="6A5EF421" w14:textId="77777777" w:rsidR="00532426" w:rsidRPr="00532426" w:rsidRDefault="00532426" w:rsidP="00532426">
      <w:pPr>
        <w:ind w:left="406"/>
        <w:contextualSpacing/>
        <w:jc w:val="both"/>
        <w:rPr>
          <w:rFonts w:asciiTheme="minorHAnsi" w:hAnsiTheme="minorHAnsi" w:cstheme="minorBidi"/>
          <w:lang w:val="fr-CA"/>
        </w:rPr>
      </w:pPr>
    </w:p>
    <w:p w14:paraId="57C89537" w14:textId="7202930F" w:rsidR="00532426" w:rsidRPr="00532426" w:rsidRDefault="00532426" w:rsidP="00532426">
      <w:pPr>
        <w:spacing w:after="160" w:line="259" w:lineRule="auto"/>
        <w:jc w:val="both"/>
        <w:rPr>
          <w:rFonts w:asciiTheme="minorHAnsi" w:hAnsiTheme="minorHAnsi" w:cstheme="minorBidi"/>
          <w:lang w:val="fr-CA"/>
        </w:rPr>
      </w:pPr>
      <w:r w:rsidRPr="00532426">
        <w:rPr>
          <w:rFonts w:asciiTheme="minorHAnsi" w:hAnsiTheme="minorHAnsi" w:cstheme="minorBidi"/>
          <w:lang w:val="fr-CA"/>
        </w:rPr>
        <w:t xml:space="preserve">Les travaux du projet nécessitent une perturbation du sol afin de connecter la série de câbles d’alimentation souterrains à partir du panneau solaire et des éoliennes jusqu’au bâtiment de la salle des moteurs. Il existe un risque de perturbation d’une contamination souterraine présumée pendant l’installation de la conduite électrique souterraine. Des mesures de mitigation environnementales seront mises en places afin d’assurer que la terre retournée reste à l’intérieur des limites du site. L’équipement nécessaire sera transporté vers le site à l’aide d’un hélicoptère. </w:t>
      </w:r>
    </w:p>
    <w:p w14:paraId="4CF6EA29" w14:textId="15ECE340" w:rsidR="004028D8" w:rsidRPr="00172D05" w:rsidRDefault="003728AC" w:rsidP="005454DB">
      <w:pPr>
        <w:pStyle w:val="Heading1"/>
        <w:rPr>
          <w:lang w:val="fr-CA"/>
        </w:rPr>
      </w:pPr>
      <w:r w:rsidRPr="001A5304">
        <w:rPr>
          <w:lang w:val="fr-CA"/>
        </w:rPr>
        <w:t>Emplacements du Projet</w:t>
      </w:r>
    </w:p>
    <w:p w14:paraId="73410737" w14:textId="20754B55" w:rsidR="001F1875" w:rsidRPr="00172D05" w:rsidRDefault="00ED21CB" w:rsidP="00E558AE">
      <w:pPr>
        <w:jc w:val="both"/>
        <w:rPr>
          <w:rFonts w:asciiTheme="minorHAnsi" w:hAnsiTheme="minorHAnsi" w:cstheme="minorHAnsi"/>
          <w:lang w:val="fr-CA"/>
        </w:rPr>
      </w:pPr>
      <w:bookmarkStart w:id="12" w:name="_Toc16780055"/>
      <w:r w:rsidRPr="00ED21CB">
        <w:rPr>
          <w:rFonts w:asciiTheme="minorHAnsi" w:hAnsiTheme="minorHAnsi" w:cstheme="minorHAnsi"/>
          <w:lang w:val="fr-CA"/>
        </w:rPr>
        <w:t>Le phare de l'île Green est situé dans le détroit de Chatham, à environ 35 km au nord-ouest de Prince Rupert. L'île, d'une superficie de 2 à 2,5 hectares, se compose principalement de plages rocheuses et sablonneuses et de hautes herbes. Aucun puits d'eau potable n'a été repéré dans un rayon de 1,5 km du site. Le site relève de la compétence du MPO et de la GCC et, à ce titre, se trouve sur des terres fédérales.</w:t>
      </w:r>
    </w:p>
    <w:p w14:paraId="137F65A9" w14:textId="4ED7BF77" w:rsidR="00E558AE" w:rsidRPr="00172D05" w:rsidRDefault="005454DB" w:rsidP="00E558AE">
      <w:pPr>
        <w:jc w:val="both"/>
        <w:rPr>
          <w:rFonts w:asciiTheme="minorHAnsi" w:eastAsia="Times New Roman" w:hAnsiTheme="minorHAnsi" w:cstheme="minorHAnsi"/>
          <w:color w:val="000000"/>
          <w:lang w:val="fr-CA" w:eastAsia="en-CA"/>
        </w:rPr>
      </w:pPr>
      <w:r w:rsidRPr="00172D05">
        <w:rPr>
          <w:rFonts w:asciiTheme="minorHAnsi" w:eastAsia="Times New Roman" w:hAnsiTheme="minorHAnsi" w:cstheme="minorHAnsi"/>
          <w:color w:val="000000"/>
          <w:lang w:val="fr-CA" w:eastAsia="en-CA"/>
        </w:rPr>
        <w:t>Coord</w:t>
      </w:r>
      <w:r w:rsidR="00532426" w:rsidRPr="00172D05">
        <w:rPr>
          <w:rFonts w:asciiTheme="minorHAnsi" w:eastAsia="Times New Roman" w:hAnsiTheme="minorHAnsi" w:cstheme="minorHAnsi"/>
          <w:color w:val="000000"/>
          <w:lang w:val="fr-CA" w:eastAsia="en-CA"/>
        </w:rPr>
        <w:t>onnées</w:t>
      </w:r>
      <w:r w:rsidRPr="00172D05">
        <w:rPr>
          <w:rFonts w:asciiTheme="minorHAnsi" w:eastAsia="Times New Roman" w:hAnsiTheme="minorHAnsi" w:cstheme="minorHAnsi"/>
          <w:color w:val="000000"/>
          <w:lang w:val="fr-CA" w:eastAsia="en-CA"/>
        </w:rPr>
        <w:t>:</w:t>
      </w:r>
    </w:p>
    <w:p w14:paraId="196BAFEE" w14:textId="77777777" w:rsidR="00E558AE" w:rsidRPr="00172D05" w:rsidRDefault="00E558AE" w:rsidP="00E558AE">
      <w:pPr>
        <w:jc w:val="both"/>
        <w:rPr>
          <w:rFonts w:asciiTheme="minorHAnsi" w:eastAsia="Times New Roman" w:hAnsiTheme="minorHAnsi" w:cstheme="minorHAnsi"/>
          <w:color w:val="000000"/>
          <w:lang w:val="fr-FR" w:eastAsia="en-CA"/>
        </w:rPr>
      </w:pPr>
      <w:r w:rsidRPr="00172D05">
        <w:rPr>
          <w:rFonts w:asciiTheme="minorHAnsi" w:eastAsia="Times New Roman" w:hAnsiTheme="minorHAnsi" w:cstheme="minorHAnsi"/>
          <w:color w:val="000000"/>
          <w:lang w:val="fr-FR" w:eastAsia="en-CA"/>
        </w:rPr>
        <w:t>Latitude: 54</w:t>
      </w:r>
      <w:r w:rsidRPr="00E558AE">
        <w:rPr>
          <w:rFonts w:asciiTheme="minorHAnsi" w:eastAsia="Times New Roman" w:hAnsiTheme="minorHAnsi" w:cstheme="minorHAnsi"/>
          <w:color w:val="000000"/>
          <w:lang w:val="fr-FR" w:eastAsia="en-CA"/>
        </w:rPr>
        <w:t>ᵒ</w:t>
      </w:r>
      <w:r w:rsidRPr="00172D05">
        <w:rPr>
          <w:rFonts w:asciiTheme="minorHAnsi" w:eastAsia="Times New Roman" w:hAnsiTheme="minorHAnsi" w:cstheme="minorHAnsi"/>
          <w:color w:val="000000"/>
          <w:lang w:val="fr-FR" w:eastAsia="en-CA"/>
        </w:rPr>
        <w:t xml:space="preserve">34’06.99”N </w:t>
      </w:r>
    </w:p>
    <w:p w14:paraId="1F573E60" w14:textId="45D90BED" w:rsidR="00F468C2" w:rsidRPr="00172D05" w:rsidRDefault="00E558AE" w:rsidP="001A36A6">
      <w:pPr>
        <w:jc w:val="both"/>
        <w:rPr>
          <w:rFonts w:asciiTheme="minorHAnsi" w:hAnsiTheme="minorHAnsi" w:cstheme="minorHAnsi"/>
          <w:lang w:val="fr-FR"/>
        </w:rPr>
      </w:pPr>
      <w:r w:rsidRPr="00172D05">
        <w:rPr>
          <w:rFonts w:asciiTheme="minorHAnsi" w:eastAsia="Times New Roman" w:hAnsiTheme="minorHAnsi" w:cstheme="minorHAnsi"/>
          <w:color w:val="000000"/>
          <w:lang w:val="fr-FR" w:eastAsia="en-CA"/>
        </w:rPr>
        <w:t>Longitude: 130</w:t>
      </w:r>
      <w:r w:rsidRPr="00E558AE">
        <w:rPr>
          <w:rFonts w:asciiTheme="minorHAnsi" w:eastAsia="Times New Roman" w:hAnsiTheme="minorHAnsi" w:cstheme="minorHAnsi"/>
          <w:color w:val="000000"/>
          <w:lang w:val="fr-FR" w:eastAsia="en-CA"/>
        </w:rPr>
        <w:t>ᵒ</w:t>
      </w:r>
      <w:r w:rsidRPr="00172D05">
        <w:rPr>
          <w:rFonts w:asciiTheme="minorHAnsi" w:eastAsia="Times New Roman" w:hAnsiTheme="minorHAnsi" w:cstheme="minorHAnsi"/>
          <w:color w:val="000000"/>
          <w:lang w:val="fr-FR" w:eastAsia="en-CA"/>
        </w:rPr>
        <w:t>42’31.5”</w:t>
      </w:r>
      <w:r w:rsidR="00532426" w:rsidRPr="00172D05">
        <w:rPr>
          <w:rFonts w:asciiTheme="minorHAnsi" w:eastAsia="Times New Roman" w:hAnsiTheme="minorHAnsi" w:cstheme="minorHAnsi"/>
          <w:color w:val="000000"/>
          <w:lang w:val="fr-FR" w:eastAsia="en-CA"/>
        </w:rPr>
        <w:t>O</w:t>
      </w:r>
    </w:p>
    <w:p w14:paraId="71009CA6" w14:textId="77777777" w:rsidR="00F468C2" w:rsidRPr="00172D05" w:rsidRDefault="00F468C2" w:rsidP="00F468C2">
      <w:pPr>
        <w:pStyle w:val="Heading1"/>
        <w:rPr>
          <w:rFonts w:asciiTheme="minorHAnsi" w:eastAsia="Times New Roman" w:hAnsiTheme="minorHAnsi" w:cstheme="minorHAnsi"/>
          <w:color w:val="000000"/>
          <w:sz w:val="22"/>
          <w:szCs w:val="22"/>
          <w:lang w:val="fr-FR" w:eastAsia="en-CA"/>
        </w:rPr>
      </w:pPr>
    </w:p>
    <w:p w14:paraId="3F8679DA" w14:textId="77777777" w:rsidR="00241798" w:rsidRPr="00172D05" w:rsidRDefault="00241798" w:rsidP="001E3CED">
      <w:pPr>
        <w:rPr>
          <w:rFonts w:asciiTheme="minorHAnsi" w:hAnsiTheme="minorHAnsi" w:cstheme="minorBidi"/>
          <w:lang w:val="fr-FR"/>
        </w:rPr>
      </w:pPr>
      <w:bookmarkStart w:id="13" w:name="_GoBack"/>
      <w:bookmarkEnd w:id="12"/>
      <w:bookmarkEnd w:id="13"/>
    </w:p>
    <w:sectPr w:rsidR="00241798" w:rsidRPr="00172D05"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26CB"/>
    <w:multiLevelType w:val="hybridMultilevel"/>
    <w:tmpl w:val="F262258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F43F7"/>
    <w:rsid w:val="001429A1"/>
    <w:rsid w:val="00172D05"/>
    <w:rsid w:val="00184F1C"/>
    <w:rsid w:val="001A36A6"/>
    <w:rsid w:val="001B5323"/>
    <w:rsid w:val="001C1833"/>
    <w:rsid w:val="001E3CED"/>
    <w:rsid w:val="001F1875"/>
    <w:rsid w:val="00210E06"/>
    <w:rsid w:val="00241798"/>
    <w:rsid w:val="00244203"/>
    <w:rsid w:val="002D0BC3"/>
    <w:rsid w:val="00337767"/>
    <w:rsid w:val="0034497E"/>
    <w:rsid w:val="003728AC"/>
    <w:rsid w:val="00376E8F"/>
    <w:rsid w:val="00386C9C"/>
    <w:rsid w:val="004028D8"/>
    <w:rsid w:val="00452209"/>
    <w:rsid w:val="00461212"/>
    <w:rsid w:val="004A0E02"/>
    <w:rsid w:val="004C12FB"/>
    <w:rsid w:val="00532426"/>
    <w:rsid w:val="005454DB"/>
    <w:rsid w:val="00587E47"/>
    <w:rsid w:val="005E689E"/>
    <w:rsid w:val="005F3379"/>
    <w:rsid w:val="00644386"/>
    <w:rsid w:val="00654894"/>
    <w:rsid w:val="006978B4"/>
    <w:rsid w:val="006B700C"/>
    <w:rsid w:val="00711279"/>
    <w:rsid w:val="00716015"/>
    <w:rsid w:val="007477ED"/>
    <w:rsid w:val="008B6DA0"/>
    <w:rsid w:val="00916C25"/>
    <w:rsid w:val="00936F5E"/>
    <w:rsid w:val="009404CA"/>
    <w:rsid w:val="00965F0F"/>
    <w:rsid w:val="0097387A"/>
    <w:rsid w:val="009A01AF"/>
    <w:rsid w:val="009B694C"/>
    <w:rsid w:val="00A23758"/>
    <w:rsid w:val="00A237B3"/>
    <w:rsid w:val="00AB451F"/>
    <w:rsid w:val="00AF7709"/>
    <w:rsid w:val="00B57DC1"/>
    <w:rsid w:val="00B91135"/>
    <w:rsid w:val="00BC1FE5"/>
    <w:rsid w:val="00BC4DA6"/>
    <w:rsid w:val="00CA05F9"/>
    <w:rsid w:val="00DB0F77"/>
    <w:rsid w:val="00E128B6"/>
    <w:rsid w:val="00E558AE"/>
    <w:rsid w:val="00E642EF"/>
    <w:rsid w:val="00ED21CB"/>
    <w:rsid w:val="00ED500C"/>
    <w:rsid w:val="00F468C2"/>
    <w:rsid w:val="00FC52D4"/>
    <w:rsid w:val="00FE1B61"/>
    <w:rsid w:val="00FF3A6B"/>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eaa-acee.gc.ca/050/evaluations/Protection?&amp;culture=fr-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2</cp:revision>
  <dcterms:created xsi:type="dcterms:W3CDTF">2021-11-09T22:09:00Z</dcterms:created>
  <dcterms:modified xsi:type="dcterms:W3CDTF">2021-11-09T22:09:00Z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