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6C140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Avis public</w:t>
      </w:r>
    </w:p>
    <w:p w14:paraId="0CF09C54" w14:textId="3BD8FD3A" w:rsidR="006C687A" w:rsidRDefault="00553AA9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proofErr w:type="spellStart"/>
      <w:r w:rsidRPr="00553AA9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Corriger</w:t>
      </w:r>
      <w:proofErr w:type="spellEnd"/>
      <w:r w:rsidRPr="00553AA9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les </w:t>
      </w:r>
      <w:proofErr w:type="spellStart"/>
      <w:r w:rsidRPr="00553AA9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déficiences</w:t>
      </w:r>
      <w:proofErr w:type="spellEnd"/>
      <w:r w:rsidRPr="00553AA9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du code du </w:t>
      </w:r>
      <w:proofErr w:type="spellStart"/>
      <w:r w:rsidRPr="00553AA9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système</w:t>
      </w:r>
      <w:proofErr w:type="spellEnd"/>
      <w:r w:rsidRPr="00553AA9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carburant - Campus Carling</w:t>
      </w:r>
      <w:r w:rsidRPr="00553AA9">
        <w:rPr>
          <w:rFonts w:ascii="Arial" w:eastAsia="Times New Roman" w:hAnsi="Arial" w:cs="Arial"/>
          <w:b/>
          <w:color w:val="196D9B"/>
          <w:sz w:val="32"/>
          <w:szCs w:val="24"/>
          <w:lang w:val="fr-CA"/>
        </w:rPr>
        <w:t xml:space="preserve"> </w:t>
      </w:r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–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Période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consultation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publique</w:t>
      </w:r>
      <w:proofErr w:type="spellEnd"/>
    </w:p>
    <w:p w14:paraId="05AA0176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</w:p>
    <w:p w14:paraId="6606AF28" w14:textId="1C75D25B" w:rsidR="006C687A" w:rsidRDefault="00553AA9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 w:rsidRPr="00553AA9">
        <w:rPr>
          <w:rFonts w:ascii="Arial" w:eastAsia="Times New Roman" w:hAnsi="Arial" w:cs="Arial"/>
          <w:b/>
          <w:color w:val="000000"/>
          <w:szCs w:val="24"/>
          <w:lang w:val="fr-CA"/>
        </w:rPr>
        <w:t>23</w:t>
      </w:r>
      <w:r>
        <w:rPr>
          <w:rFonts w:ascii="Arial" w:eastAsia="Times New Roman" w:hAnsi="Arial" w:cs="Arial"/>
          <w:b/>
          <w:color w:val="000000"/>
          <w:szCs w:val="24"/>
          <w:lang w:val="fr-CA"/>
        </w:rPr>
        <w:t>-sep-21</w:t>
      </w:r>
      <w:r w:rsidR="006C687A"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– </w:t>
      </w:r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Services publics et </w:t>
      </w:r>
      <w:proofErr w:type="spellStart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>Approvisionnement</w:t>
      </w:r>
      <w:proofErr w:type="spellEnd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Canada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doit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déterminer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proposé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Corriger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déficiences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du code du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de carburant - Campus Carling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r w:rsidRPr="00553AA9">
        <w:rPr>
          <w:rFonts w:ascii="Arial" w:eastAsia="Times New Roman" w:hAnsi="Arial" w:cs="Arial"/>
          <w:color w:val="000000"/>
          <w:szCs w:val="24"/>
          <w:lang w:val="fr-CA"/>
        </w:rPr>
        <w:t>Ot</w:t>
      </w:r>
      <w:r>
        <w:rPr>
          <w:rFonts w:ascii="Arial" w:eastAsia="Times New Roman" w:hAnsi="Arial" w:cs="Arial"/>
          <w:color w:val="000000"/>
          <w:szCs w:val="24"/>
          <w:lang w:val="fr-CA"/>
        </w:rPr>
        <w:t>tawa, ON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susceptible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d’entraîner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effets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négatifs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importants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l’environnement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297A8094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5BA36895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Afin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contribuer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prise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éclairée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>SPAC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invite(s) le public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formuler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reçus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eront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considérés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comme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publics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et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pourrai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publiés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Pour de plus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amples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renseignements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invitées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consulter </w:t>
      </w:r>
      <w:hyperlink r:id="rId4" w:history="1"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l’avis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la protectio</w:t>
        </w:r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n des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renseignements</w:t>
        </w:r>
        <w:proofErr w:type="spellEnd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personnels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le site Web du </w:t>
        </w:r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Registre</w:t>
        </w:r>
        <w:proofErr w:type="spellEnd"/>
      </w:hyperlink>
      <w:r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26F00C86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621D35D6" w14:textId="3682761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écrits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peuvent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présentés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Cs w:val="24"/>
          <w:lang w:val="x-none"/>
        </w:rPr>
        <w:t>d’ici</w:t>
      </w:r>
      <w:proofErr w:type="spellEnd"/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</w:t>
      </w:r>
      <w:r w:rsidR="00553AA9" w:rsidRPr="00553AA9">
        <w:rPr>
          <w:rFonts w:ascii="Arial" w:eastAsia="Times New Roman" w:hAnsi="Arial" w:cs="Arial"/>
          <w:b/>
          <w:color w:val="000000"/>
          <w:szCs w:val="24"/>
          <w:lang w:val="fr-CA"/>
        </w:rPr>
        <w:t>l</w:t>
      </w:r>
      <w:r w:rsidR="00553AA9">
        <w:rPr>
          <w:rFonts w:ascii="Arial" w:eastAsia="Times New Roman" w:hAnsi="Arial" w:cs="Arial"/>
          <w:b/>
          <w:color w:val="000000"/>
          <w:szCs w:val="24"/>
          <w:lang w:val="fr-CA"/>
        </w:rPr>
        <w:t>e 23 octobre, 2021</w:t>
      </w:r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x-none"/>
        </w:rPr>
        <w:t>à :</w:t>
      </w:r>
    </w:p>
    <w:p w14:paraId="15A745AF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4D29167A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Environnement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santé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</w:p>
    <w:p w14:paraId="3C50203C" w14:textId="77777777" w:rsidR="0092199B" w:rsidRPr="00C61330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r w:rsidRPr="00C61330">
        <w:rPr>
          <w:rFonts w:ascii="Arial" w:eastAsia="Times New Roman" w:hAnsi="Arial" w:cs="Arial"/>
          <w:color w:val="000000"/>
          <w:szCs w:val="24"/>
          <w:lang w:val="fr-CA"/>
        </w:rPr>
        <w:t>2720 Riverside Drive, Ottawa, Ontario</w:t>
      </w:r>
    </w:p>
    <w:p w14:paraId="68F1766F" w14:textId="77777777" w:rsidR="0092199B" w:rsidRPr="00C61330" w:rsidRDefault="00553AA9" w:rsidP="0092199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hyperlink r:id="rId5" w:history="1">
        <w:r w:rsidR="0092199B" w:rsidRPr="002B5F77">
          <w:rPr>
            <w:rStyle w:val="Hyperlink"/>
            <w:rFonts w:ascii="Arial" w:eastAsia="Times New Roman" w:hAnsi="Arial" w:cs="Arial"/>
            <w:szCs w:val="24"/>
            <w:lang w:val="x-none"/>
          </w:rPr>
          <w:t>TPSGC.RCNLVEEListedeControle-NCRECMPChecklist.PWGSC@tpsgc-pwgsc.gc.ca</w:t>
        </w:r>
      </w:hyperlink>
      <w:r w:rsidR="0092199B" w:rsidRPr="00C61330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</w:p>
    <w:p w14:paraId="12597BF6" w14:textId="77777777" w:rsidR="0092199B" w:rsidRP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0DF5349B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</w:p>
    <w:p w14:paraId="12EFE68B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>projet</w:t>
      </w:r>
      <w:proofErr w:type="spellEnd"/>
    </w:p>
    <w:p w14:paraId="186C19DF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6525F9F7" w14:textId="6BC2C9BD" w:rsidR="00553AA9" w:rsidRPr="00553AA9" w:rsidRDefault="00553AA9" w:rsidP="00553AA9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Le but de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ce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d'aborder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de carburant et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d'autres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défauts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associés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recommandés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dans</w:t>
      </w:r>
      <w:r w:rsidRPr="00553AA9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l'I&amp;R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réalisée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sous PWG371240 au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cours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l'AF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16/17 et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l'I&amp;R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réalisée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sous PWG992506 au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cours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de l'AF18/19.</w:t>
      </w:r>
    </w:p>
    <w:p w14:paraId="76FF24B0" w14:textId="7D1EC61D" w:rsidR="0003011E" w:rsidRPr="00553AA9" w:rsidRDefault="00553AA9" w:rsidP="00553AA9">
      <w:pPr>
        <w:rPr>
          <w:lang w:val="fr-CA"/>
        </w:rPr>
      </w:pPr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Ce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consiste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à combiner les deux rapports pour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traiter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toutes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les questions qui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entourent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de carburant. Les</w:t>
      </w:r>
      <w:r w:rsidRPr="00553AA9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consistera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retirer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et à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principal, la zone de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transfert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produit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extérieure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(station de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remplissage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, y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compris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alarme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),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panneau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commande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alternatif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de la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pompe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à carburant,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vannes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d'arrêt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tuyaux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raccordement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tuyauterie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et flexible de la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génératrice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connecteur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d'échappement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. Ce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de stockage de carburant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un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réglementé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par le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gouvernement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fédéral</w:t>
      </w:r>
      <w:proofErr w:type="spellEnd"/>
      <w:r w:rsidRPr="00553AA9">
        <w:rPr>
          <w:rFonts w:ascii="Arial" w:eastAsia="Times New Roman" w:hAnsi="Arial" w:cs="Arial"/>
          <w:color w:val="000000"/>
          <w:szCs w:val="24"/>
          <w:lang w:val="x-none"/>
        </w:rPr>
        <w:t>, qui affiche un ECCC#00024878.</w:t>
      </w:r>
    </w:p>
    <w:sectPr w:rsidR="0003011E" w:rsidRPr="00553AA9" w:rsidSect="00B67F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7A"/>
    <w:rsid w:val="000D3C94"/>
    <w:rsid w:val="00371E43"/>
    <w:rsid w:val="00553AA9"/>
    <w:rsid w:val="006C687A"/>
    <w:rsid w:val="0092199B"/>
    <w:rsid w:val="00A01955"/>
    <w:rsid w:val="00C61330"/>
    <w:rsid w:val="00F5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2D2B"/>
  <w15:chartTrackingRefBased/>
  <w15:docId w15:val="{6118BF06-45F2-4E0B-8886-6957D8C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3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GC.RCNLVEEListedeControle-NCRECMPChecklist.PWGSC@tpsgc-pwgsc.gc.ca" TargetMode="External"/><Relationship Id="rId4" Type="http://schemas.openxmlformats.org/officeDocument/2006/relationships/hyperlink" Target="https://iaac-aeic.gc.ca/050/evaluations/protection?culture=fr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1690</Characters>
  <Application>Microsoft Office Word</Application>
  <DocSecurity>0</DocSecurity>
  <Lines>14</Lines>
  <Paragraphs>3</Paragraphs>
  <ScaleCrop>false</ScaleCrop>
  <Company>Government of Canada\Gouvernement du Canada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2021-09-23T21:56:00Z</dcterms:created>
  <dcterms:modified xsi:type="dcterms:W3CDTF">2021-09-23T21:56:00Z</dcterms:modified>
</cp:coreProperties>
</file>