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6C140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14:paraId="0CF09C54" w14:textId="755EB518" w:rsidR="006C687A" w:rsidRDefault="00AE5005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Édifice</w:t>
      </w:r>
      <w:proofErr w:type="spellEnd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Major-</w:t>
      </w:r>
      <w:proofErr w:type="spellStart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Général</w:t>
      </w:r>
      <w:proofErr w:type="spellEnd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G. R. </w:t>
      </w:r>
      <w:proofErr w:type="spellStart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Pearkes</w:t>
      </w:r>
      <w:proofErr w:type="spellEnd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- </w:t>
      </w:r>
      <w:proofErr w:type="spellStart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Conformité</w:t>
      </w:r>
      <w:proofErr w:type="spellEnd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du </w:t>
      </w:r>
      <w:proofErr w:type="spellStart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carburant haute pression</w:t>
      </w:r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14:paraId="05AA0176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14:paraId="6606AF28" w14:textId="74B040F6" w:rsidR="006C687A" w:rsidRDefault="00AE5005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AE5005">
        <w:rPr>
          <w:rFonts w:ascii="Arial" w:eastAsia="Times New Roman" w:hAnsi="Arial" w:cs="Arial"/>
          <w:b/>
          <w:color w:val="000000"/>
          <w:szCs w:val="24"/>
          <w:lang w:val="fr-CA"/>
        </w:rPr>
        <w:t>28</w:t>
      </w:r>
      <w:r>
        <w:rPr>
          <w:rFonts w:ascii="Arial" w:eastAsia="Times New Roman" w:hAnsi="Arial" w:cs="Arial"/>
          <w:b/>
          <w:color w:val="000000"/>
          <w:szCs w:val="24"/>
          <w:lang w:val="fr-CA"/>
        </w:rPr>
        <w:t>-aout-21</w:t>
      </w:r>
      <w:r w:rsidR="006C687A"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– </w:t>
      </w:r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Services publics et </w:t>
      </w:r>
      <w:proofErr w:type="spellStart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>Approvisionnement</w:t>
      </w:r>
      <w:proofErr w:type="spellEnd"/>
      <w:r w:rsidR="0092199B"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Canada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doit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proposé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Édifice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Major-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Général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G. R.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Pearkes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-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Conformité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 haute pression</w:t>
      </w:r>
      <w:r w:rsidRPr="00AE5005">
        <w:rPr>
          <w:rFonts w:ascii="Arial" w:eastAsia="Times New Roman" w:hAnsi="Arial" w:cs="Arial"/>
          <w:color w:val="000000"/>
          <w:szCs w:val="24"/>
          <w:lang w:val="fr-CA"/>
        </w:rPr>
        <w:t xml:space="preserve">,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r w:rsidRPr="00AE5005">
        <w:rPr>
          <w:rFonts w:ascii="Arial" w:eastAsia="Times New Roman" w:hAnsi="Arial" w:cs="Arial"/>
          <w:color w:val="000000"/>
          <w:szCs w:val="24"/>
          <w:lang w:val="fr-CA"/>
        </w:rPr>
        <w:t>Ot</w:t>
      </w:r>
      <w:r>
        <w:rPr>
          <w:rFonts w:ascii="Arial" w:eastAsia="Times New Roman" w:hAnsi="Arial" w:cs="Arial"/>
          <w:color w:val="000000"/>
          <w:szCs w:val="24"/>
          <w:lang w:val="fr-CA"/>
        </w:rPr>
        <w:t>tawa, ON</w:t>
      </w:r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e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st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susceptible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d’entraîner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effets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négatifs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importants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 w:rsidR="006C687A">
        <w:rPr>
          <w:rFonts w:ascii="Arial" w:eastAsia="Times New Roman" w:hAnsi="Arial" w:cs="Arial"/>
          <w:color w:val="000000"/>
          <w:szCs w:val="24"/>
          <w:lang w:val="x-none"/>
        </w:rPr>
        <w:t>l’environnement</w:t>
      </w:r>
      <w:proofErr w:type="spellEnd"/>
      <w:r w:rsidR="006C687A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297A8094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5BA36895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Afin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26F00C86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621D35D6" w14:textId="3CC0AE8F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AE5005" w:rsidRPr="00AE5005">
        <w:rPr>
          <w:rFonts w:ascii="Arial" w:eastAsia="Times New Roman" w:hAnsi="Arial" w:cs="Arial"/>
          <w:b/>
          <w:color w:val="000000"/>
          <w:szCs w:val="24"/>
          <w:lang w:val="fr-CA"/>
        </w:rPr>
        <w:t>27 sep</w:t>
      </w:r>
      <w:r w:rsidR="00AE5005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tembre, 2021 </w:t>
      </w:r>
      <w:r w:rsidR="00AE5005">
        <w:rPr>
          <w:rFonts w:ascii="Arial" w:eastAsia="Times New Roman" w:hAnsi="Arial" w:cs="Arial"/>
          <w:b/>
          <w:color w:val="000000"/>
          <w:szCs w:val="24"/>
          <w:lang w:val="fr-CA"/>
        </w:rPr>
        <w:tab/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14:paraId="15A745AF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4D29167A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santé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14:paraId="3C50203C" w14:textId="77777777" w:rsidR="0092199B" w:rsidRPr="00C61330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C61330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14:paraId="68F1766F" w14:textId="77777777" w:rsidR="0092199B" w:rsidRPr="00C61330" w:rsidRDefault="00AE5005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C61330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14:paraId="12597BF6" w14:textId="77777777"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0DF5349B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14:paraId="12EFE68B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14:paraId="186C19DF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70CA3E2A" w14:textId="77777777" w:rsidR="00AE5005" w:rsidRPr="00AE5005" w:rsidRDefault="00AE5005" w:rsidP="00AE5005">
      <w:pPr>
        <w:rPr>
          <w:rFonts w:ascii="Arial" w:eastAsia="Times New Roman" w:hAnsi="Arial" w:cs="Arial"/>
          <w:color w:val="000000"/>
          <w:szCs w:val="24"/>
          <w:lang w:val="x-none"/>
        </w:rPr>
      </w:pPr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Le but de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d'évaluer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et de documenter le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base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existant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carburant de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génératrice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d'urgence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apporter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des modifications et/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des dessins au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besoin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rendre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conforme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au DORS-2008/197 et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enregistrer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auprès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la TSSA. Il y 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actuellement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 diesel de 5000L dans le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quai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chargement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avec des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pompes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et des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conduites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 au plus petit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journalier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situé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dans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chacune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des 2 tours de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génératrice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d'urgence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du 22e étage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pièces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. Ce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projet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comprendra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: -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conformité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hautes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pressions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existantes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associés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, et tout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autre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équipement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connexe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à un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niveau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acceptable (SOR-2008-197 et CMME et, le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cas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échéant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, CSA Z662, codes ANSI/ASME B31.1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ou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B31.3), qui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nécessite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un examen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approfondi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du site de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colonne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montante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existante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-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l'accès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à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devra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fournie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si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elle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n'est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pas déjà accessible : -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essai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pression du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, examen non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destructif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(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radiographie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contrôle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par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ultrasons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) pour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vérifier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le joint</w:t>
      </w:r>
    </w:p>
    <w:p w14:paraId="76FF24B0" w14:textId="19BFD822" w:rsidR="0003011E" w:rsidRPr="00AE5005" w:rsidRDefault="00AE5005" w:rsidP="00AE5005">
      <w:pPr>
        <w:rPr>
          <w:lang w:val="fr-CA"/>
        </w:rPr>
      </w:pP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l'intégrité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l'étendue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et la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portée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des exigences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d'inspection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radiographique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déterminer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avec apport de la TSSA et du consultant : - modification, au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besoin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obtenir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l'approbation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la TSSA via le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processus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demande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avec TSSA FSP, qui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nécessitent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des dessins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spécifiques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au site et nomenclature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correspondante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sous pression et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équipement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. Le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est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identifié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enregistré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sous le </w:t>
      </w:r>
      <w:proofErr w:type="spellStart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>numéro</w:t>
      </w:r>
      <w:proofErr w:type="spellEnd"/>
      <w:r w:rsidRPr="00AE5005">
        <w:rPr>
          <w:rFonts w:ascii="Arial" w:eastAsia="Times New Roman" w:hAnsi="Arial" w:cs="Arial"/>
          <w:color w:val="000000"/>
          <w:szCs w:val="24"/>
          <w:lang w:val="x-none"/>
        </w:rPr>
        <w:t xml:space="preserve"> ECCC 00031204.</w:t>
      </w:r>
    </w:p>
    <w:sectPr w:rsidR="0003011E" w:rsidRPr="00AE5005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7A"/>
    <w:rsid w:val="000D3C94"/>
    <w:rsid w:val="00371E43"/>
    <w:rsid w:val="006C687A"/>
    <w:rsid w:val="0092199B"/>
    <w:rsid w:val="00A01955"/>
    <w:rsid w:val="00AE5005"/>
    <w:rsid w:val="00C61330"/>
    <w:rsid w:val="00F5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2D2B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0</DocSecurity>
  <Lines>19</Lines>
  <Paragraphs>5</Paragraphs>
  <ScaleCrop>false</ScaleCrop>
  <Company>Government of Canada\Gouvernement du Canada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2021-08-28T16:25:00Z</dcterms:created>
  <dcterms:modified xsi:type="dcterms:W3CDTF">2021-08-28T16:25:00Z</dcterms:modified>
</cp:coreProperties>
</file>