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971A3" w14:textId="25AC1AA6" w:rsidR="000561F0" w:rsidRPr="00BA7FC7" w:rsidRDefault="00BA7FC7" w:rsidP="00B56E22">
      <w:pPr>
        <w:rPr>
          <w:rFonts w:ascii="Arial" w:hAnsi="Arial" w:cs="Arial"/>
          <w:b/>
          <w:sz w:val="22"/>
          <w:szCs w:val="22"/>
        </w:rPr>
      </w:pPr>
      <w:r>
        <w:rPr>
          <w:rFonts w:ascii="Arial" w:hAnsi="Arial"/>
          <w:b/>
          <w:sz w:val="22"/>
        </w:rPr>
        <w:t>Réponse du gouvernement du Canada aux recommandations de la commission d’examen conjoint sur le projet de m</w:t>
      </w:r>
      <w:bookmarkStart w:id="0" w:name="_GoBack"/>
      <w:bookmarkEnd w:id="0"/>
      <w:r>
        <w:rPr>
          <w:rFonts w:ascii="Arial" w:hAnsi="Arial"/>
          <w:b/>
          <w:sz w:val="22"/>
        </w:rPr>
        <w:t>ine de charbon Grassy Mountain</w:t>
      </w:r>
    </w:p>
    <w:p w14:paraId="4FE0DA58" w14:textId="77777777" w:rsidR="00BA7FC7" w:rsidRPr="0072596A" w:rsidRDefault="00BA7FC7" w:rsidP="00B56E22">
      <w:pPr>
        <w:rPr>
          <w:rFonts w:ascii="Arial" w:hAnsi="Arial" w:cs="Arial"/>
          <w:sz w:val="22"/>
          <w:szCs w:val="22"/>
        </w:rPr>
      </w:pPr>
    </w:p>
    <w:p w14:paraId="4802DB62" w14:textId="309BA8E1" w:rsidR="000561F0" w:rsidRPr="0072596A" w:rsidRDefault="000561F0" w:rsidP="00B56E22">
      <w:pPr>
        <w:rPr>
          <w:rFonts w:ascii="Arial" w:hAnsi="Arial" w:cs="Arial"/>
          <w:sz w:val="22"/>
          <w:szCs w:val="22"/>
        </w:rPr>
      </w:pPr>
      <w:r>
        <w:rPr>
          <w:rFonts w:ascii="Arial" w:hAnsi="Arial"/>
          <w:sz w:val="22"/>
        </w:rPr>
        <w:t>La commission d’examen conjoint du projet de mine de charbon Grassy Mountain (le projet) fait (6) recommandations aux gouvernements fédéral et provincial relativement aux effets du projet. Ces recommandations portent sur les limites que la commission a observées pendant le processus d</w:t>
      </w:r>
      <w:r w:rsidR="000B4D1F">
        <w:rPr>
          <w:rFonts w:ascii="Arial" w:hAnsi="Arial"/>
          <w:sz w:val="22"/>
        </w:rPr>
        <w:t>’</w:t>
      </w:r>
      <w:r>
        <w:rPr>
          <w:rFonts w:ascii="Arial" w:hAnsi="Arial"/>
          <w:sz w:val="22"/>
        </w:rPr>
        <w:t>examen associé aux éléments suivants</w:t>
      </w:r>
      <w:r w:rsidR="00B56E22">
        <w:rPr>
          <w:rFonts w:ascii="Arial" w:hAnsi="Arial"/>
          <w:sz w:val="22"/>
        </w:rPr>
        <w:t> :</w:t>
      </w:r>
      <w:r>
        <w:rPr>
          <w:rFonts w:ascii="Arial" w:hAnsi="Arial"/>
          <w:sz w:val="22"/>
        </w:rPr>
        <w:t xml:space="preserve"> (1) l’orientation offerte pour le processus d</w:t>
      </w:r>
      <w:r w:rsidR="000B4D1F">
        <w:rPr>
          <w:rFonts w:ascii="Arial" w:hAnsi="Arial"/>
          <w:sz w:val="22"/>
        </w:rPr>
        <w:t>’</w:t>
      </w:r>
      <w:r>
        <w:rPr>
          <w:rFonts w:ascii="Arial" w:hAnsi="Arial"/>
          <w:sz w:val="22"/>
        </w:rPr>
        <w:t>évaluation environnementale (ou d’évaluation d’impact) ou (2) le cadre réglementa</w:t>
      </w:r>
      <w:r w:rsidR="000F4B95">
        <w:rPr>
          <w:rFonts w:ascii="Arial" w:hAnsi="Arial"/>
          <w:sz w:val="22"/>
        </w:rPr>
        <w:t>ire</w:t>
      </w:r>
      <w:r>
        <w:rPr>
          <w:rFonts w:ascii="Arial" w:hAnsi="Arial"/>
          <w:sz w:val="22"/>
        </w:rPr>
        <w:t xml:space="preserve"> </w:t>
      </w:r>
      <w:r w:rsidR="000F4B95">
        <w:rPr>
          <w:rFonts w:ascii="Arial" w:hAnsi="Arial"/>
          <w:sz w:val="22"/>
        </w:rPr>
        <w:t>relatif aux</w:t>
      </w:r>
      <w:r>
        <w:rPr>
          <w:rFonts w:ascii="Arial" w:hAnsi="Arial"/>
          <w:sz w:val="22"/>
        </w:rPr>
        <w:t xml:space="preserve"> domaines de compétence fédérale. La commission a souligné que la mise en œuvre des recommandations peut améliorer l’efficacité du processus d</w:t>
      </w:r>
      <w:r w:rsidR="000B4D1F">
        <w:rPr>
          <w:rFonts w:ascii="Arial" w:hAnsi="Arial"/>
          <w:sz w:val="22"/>
        </w:rPr>
        <w:t>’</w:t>
      </w:r>
      <w:r>
        <w:rPr>
          <w:rFonts w:ascii="Arial" w:hAnsi="Arial"/>
          <w:sz w:val="22"/>
        </w:rPr>
        <w:t xml:space="preserve">examen </w:t>
      </w:r>
      <w:r w:rsidR="000F4B95">
        <w:rPr>
          <w:rFonts w:ascii="Arial" w:hAnsi="Arial"/>
          <w:sz w:val="22"/>
        </w:rPr>
        <w:t xml:space="preserve">et </w:t>
      </w:r>
      <w:r>
        <w:rPr>
          <w:rFonts w:ascii="Arial" w:hAnsi="Arial"/>
          <w:sz w:val="22"/>
        </w:rPr>
        <w:t>fournir une direction utile aux futurs décideurs, aux promoteurs et aux membres du public.</w:t>
      </w:r>
    </w:p>
    <w:p w14:paraId="30A7228F" w14:textId="77777777" w:rsidR="000561F0" w:rsidRPr="0072596A" w:rsidRDefault="000561F0" w:rsidP="00B56E22">
      <w:pPr>
        <w:rPr>
          <w:rFonts w:ascii="Arial" w:hAnsi="Arial" w:cs="Arial"/>
          <w:sz w:val="22"/>
          <w:szCs w:val="22"/>
        </w:rPr>
      </w:pPr>
    </w:p>
    <w:p w14:paraId="16E58744" w14:textId="2B4EE480" w:rsidR="000561F0" w:rsidRPr="0072596A" w:rsidRDefault="008739CC" w:rsidP="00B56E22">
      <w:pPr>
        <w:rPr>
          <w:rFonts w:ascii="Arial" w:hAnsi="Arial" w:cs="Arial"/>
          <w:sz w:val="22"/>
          <w:szCs w:val="22"/>
        </w:rPr>
      </w:pPr>
      <w:r w:rsidRPr="008739CC">
        <w:rPr>
          <w:rFonts w:ascii="Arial" w:hAnsi="Arial"/>
          <w:sz w:val="22"/>
        </w:rPr>
        <w:t>La réponse du gouvernement du Canada aux recommandations adressées au gouvernement fédéral est décrite ci-dessous</w:t>
      </w:r>
      <w:r w:rsidR="00B56E22">
        <w:rPr>
          <w:rFonts w:ascii="Arial" w:hAnsi="Arial"/>
          <w:sz w:val="22"/>
        </w:rPr>
        <w:t> :</w:t>
      </w:r>
    </w:p>
    <w:p w14:paraId="20F07B71" w14:textId="7EF7131B" w:rsidR="006D2A91" w:rsidRPr="0072596A" w:rsidRDefault="0072596A" w:rsidP="00B56E22">
      <w:pPr>
        <w:pStyle w:val="Heading1"/>
        <w:rPr>
          <w:rFonts w:ascii="Arial" w:hAnsi="Arial" w:cs="Arial"/>
          <w:sz w:val="22"/>
          <w:szCs w:val="22"/>
        </w:rPr>
      </w:pPr>
      <w:r>
        <w:rPr>
          <w:rFonts w:ascii="Arial" w:hAnsi="Arial"/>
          <w:sz w:val="22"/>
        </w:rPr>
        <w:t>Recommandations de la commission</w:t>
      </w:r>
    </w:p>
    <w:p w14:paraId="44BC5007" w14:textId="77777777" w:rsidR="006D2A91" w:rsidRPr="0072596A" w:rsidRDefault="006D2A91" w:rsidP="00B56E22">
      <w:pPr>
        <w:keepNext/>
        <w:rPr>
          <w:rFonts w:ascii="Arial" w:hAnsi="Arial" w:cs="Arial"/>
          <w:b/>
          <w:sz w:val="22"/>
          <w:szCs w:val="22"/>
          <w:u w:val="single"/>
        </w:rPr>
      </w:pPr>
    </w:p>
    <w:tbl>
      <w:tblPr>
        <w:tblpPr w:leftFromText="180" w:rightFromText="180" w:vertAnchor="text" w:tblpY="1"/>
        <w:tblOverlap w:val="neve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6172"/>
        <w:gridCol w:w="7201"/>
      </w:tblGrid>
      <w:tr w:rsidR="00AF73E7" w:rsidRPr="0072596A" w14:paraId="1BF95DCC" w14:textId="77777777" w:rsidTr="00E33E62">
        <w:trPr>
          <w:tblHeader/>
        </w:trPr>
        <w:tc>
          <w:tcPr>
            <w:tcW w:w="296" w:type="pct"/>
            <w:shd w:val="clear" w:color="auto" w:fill="DEEAF6" w:themeFill="accent1" w:themeFillTint="33"/>
          </w:tcPr>
          <w:p w14:paraId="30D3312B" w14:textId="5BE5A39A" w:rsidR="00AF73E7" w:rsidRPr="0072596A" w:rsidRDefault="00AF73E7" w:rsidP="00B56E22">
            <w:pPr>
              <w:rPr>
                <w:rFonts w:ascii="Arial" w:hAnsi="Arial" w:cs="Arial"/>
                <w:b/>
                <w:bCs/>
                <w:sz w:val="22"/>
                <w:szCs w:val="22"/>
              </w:rPr>
            </w:pPr>
            <w:r>
              <w:rPr>
                <w:rFonts w:ascii="Arial" w:hAnsi="Arial"/>
                <w:b/>
                <w:sz w:val="22"/>
              </w:rPr>
              <w:t>Rec. n</w:t>
            </w:r>
            <w:r>
              <w:rPr>
                <w:rFonts w:ascii="Arial" w:hAnsi="Arial"/>
                <w:b/>
                <w:sz w:val="22"/>
                <w:vertAlign w:val="superscript"/>
              </w:rPr>
              <w:t>o</w:t>
            </w:r>
          </w:p>
        </w:tc>
        <w:tc>
          <w:tcPr>
            <w:tcW w:w="2171" w:type="pct"/>
            <w:shd w:val="clear" w:color="auto" w:fill="DEEAF6" w:themeFill="accent1" w:themeFillTint="33"/>
            <w:tcMar>
              <w:top w:w="0" w:type="dxa"/>
              <w:left w:w="108" w:type="dxa"/>
              <w:bottom w:w="0" w:type="dxa"/>
              <w:right w:w="108" w:type="dxa"/>
            </w:tcMar>
            <w:hideMark/>
          </w:tcPr>
          <w:p w14:paraId="31121577" w14:textId="3458B65D" w:rsidR="00AF73E7" w:rsidRPr="0072596A" w:rsidRDefault="00AF73E7" w:rsidP="00B56E22">
            <w:pPr>
              <w:rPr>
                <w:rFonts w:ascii="Arial" w:hAnsi="Arial" w:cs="Arial"/>
                <w:b/>
                <w:bCs/>
                <w:sz w:val="22"/>
                <w:szCs w:val="22"/>
              </w:rPr>
            </w:pPr>
            <w:r>
              <w:rPr>
                <w:rFonts w:ascii="Arial" w:hAnsi="Arial"/>
                <w:b/>
                <w:sz w:val="22"/>
              </w:rPr>
              <w:t>Texte de la recommandation</w:t>
            </w:r>
          </w:p>
        </w:tc>
        <w:tc>
          <w:tcPr>
            <w:tcW w:w="2532" w:type="pct"/>
            <w:shd w:val="clear" w:color="auto" w:fill="DEEAF6" w:themeFill="accent1" w:themeFillTint="33"/>
            <w:tcMar>
              <w:top w:w="0" w:type="dxa"/>
              <w:left w:w="108" w:type="dxa"/>
              <w:bottom w:w="0" w:type="dxa"/>
              <w:right w:w="108" w:type="dxa"/>
            </w:tcMar>
            <w:hideMark/>
          </w:tcPr>
          <w:p w14:paraId="0C2253E6" w14:textId="222D0C65" w:rsidR="00AF73E7" w:rsidRPr="0072596A" w:rsidRDefault="000F4B95" w:rsidP="00B56E22">
            <w:pPr>
              <w:rPr>
                <w:rFonts w:ascii="Arial" w:hAnsi="Arial" w:cs="Arial"/>
                <w:b/>
                <w:bCs/>
                <w:sz w:val="22"/>
                <w:szCs w:val="22"/>
              </w:rPr>
            </w:pPr>
            <w:r>
              <w:rPr>
                <w:rFonts w:ascii="Arial" w:hAnsi="Arial"/>
                <w:b/>
                <w:sz w:val="22"/>
              </w:rPr>
              <w:t xml:space="preserve">Version provisoire </w:t>
            </w:r>
            <w:r w:rsidR="007A67D7">
              <w:rPr>
                <w:rFonts w:ascii="Arial" w:hAnsi="Arial"/>
                <w:b/>
                <w:sz w:val="22"/>
              </w:rPr>
              <w:t>de la réponse ou de l</w:t>
            </w:r>
            <w:r w:rsidR="000B4D1F">
              <w:rPr>
                <w:rFonts w:ascii="Arial" w:hAnsi="Arial"/>
                <w:b/>
                <w:sz w:val="22"/>
              </w:rPr>
              <w:t>’</w:t>
            </w:r>
            <w:r w:rsidR="007A67D7">
              <w:rPr>
                <w:rFonts w:ascii="Arial" w:hAnsi="Arial"/>
                <w:b/>
                <w:sz w:val="22"/>
              </w:rPr>
              <w:t xml:space="preserve">analyse gouvernementale </w:t>
            </w:r>
          </w:p>
        </w:tc>
      </w:tr>
      <w:tr w:rsidR="00005D9E" w:rsidRPr="0072596A" w14:paraId="0B91CEBA" w14:textId="77777777" w:rsidTr="00E33E62">
        <w:trPr>
          <w:trHeight w:val="869"/>
        </w:trPr>
        <w:tc>
          <w:tcPr>
            <w:tcW w:w="296" w:type="pct"/>
          </w:tcPr>
          <w:p w14:paraId="48901A46" w14:textId="26CC03D6" w:rsidR="00005D9E" w:rsidRPr="0072596A" w:rsidRDefault="00141DF4" w:rsidP="00B56E22">
            <w:pPr>
              <w:rPr>
                <w:rFonts w:ascii="Arial" w:hAnsi="Arial" w:cs="Arial"/>
                <w:b/>
                <w:sz w:val="22"/>
                <w:szCs w:val="22"/>
              </w:rPr>
            </w:pPr>
            <w:r>
              <w:rPr>
                <w:rFonts w:ascii="Arial" w:hAnsi="Arial"/>
                <w:b/>
                <w:sz w:val="22"/>
              </w:rPr>
              <w:t>1</w:t>
            </w:r>
          </w:p>
        </w:tc>
        <w:tc>
          <w:tcPr>
            <w:tcW w:w="2171" w:type="pct"/>
            <w:tcMar>
              <w:top w:w="0" w:type="dxa"/>
              <w:left w:w="108" w:type="dxa"/>
              <w:bottom w:w="0" w:type="dxa"/>
              <w:right w:w="108" w:type="dxa"/>
            </w:tcMar>
          </w:tcPr>
          <w:p w14:paraId="5B4CCDFD" w14:textId="3DBED578" w:rsidR="00005D9E" w:rsidRPr="00663B55" w:rsidRDefault="00663B55" w:rsidP="00EE6706">
            <w:pPr>
              <w:rPr>
                <w:rFonts w:ascii="Arial" w:hAnsi="Arial" w:cs="Arial"/>
                <w:sz w:val="22"/>
                <w:szCs w:val="22"/>
              </w:rPr>
            </w:pPr>
            <w:r>
              <w:rPr>
                <w:rFonts w:ascii="Arial" w:hAnsi="Arial"/>
                <w:sz w:val="22"/>
              </w:rPr>
              <w:t xml:space="preserve">La commission recommande que l’Agence d’évaluation d’impact du Canada (l’Agence) demande aux promoteurs de fournir des données de référence préindustrielles (historiques) dans leur rapport </w:t>
            </w:r>
            <w:r w:rsidR="00191330">
              <w:rPr>
                <w:rFonts w:ascii="Arial" w:hAnsi="Arial"/>
                <w:sz w:val="22"/>
              </w:rPr>
              <w:t>d’étude d’évaluation d’impact sur l’environnement (</w:t>
            </w:r>
            <w:r>
              <w:rPr>
                <w:rFonts w:ascii="Arial" w:hAnsi="Arial"/>
                <w:sz w:val="22"/>
              </w:rPr>
              <w:t>EIE</w:t>
            </w:r>
            <w:r w:rsidR="00191330">
              <w:rPr>
                <w:rFonts w:ascii="Arial" w:hAnsi="Arial"/>
                <w:sz w:val="22"/>
              </w:rPr>
              <w:t>)</w:t>
            </w:r>
            <w:r>
              <w:rPr>
                <w:rFonts w:ascii="Arial" w:hAnsi="Arial"/>
                <w:sz w:val="22"/>
              </w:rPr>
              <w:t xml:space="preserve">. Cet aspect devrait être </w:t>
            </w:r>
            <w:r w:rsidR="000F4B95">
              <w:rPr>
                <w:rFonts w:ascii="Arial" w:hAnsi="Arial"/>
                <w:sz w:val="22"/>
              </w:rPr>
              <w:t xml:space="preserve">intégré </w:t>
            </w:r>
            <w:r>
              <w:rPr>
                <w:rFonts w:ascii="Arial" w:hAnsi="Arial"/>
                <w:sz w:val="22"/>
              </w:rPr>
              <w:t xml:space="preserve">dans les lignes directrices individualisées relatives à l’étude d’impact des futures évaluations d’impact. Des données de références préindustrielles auraient amélioré </w:t>
            </w:r>
            <w:r w:rsidR="00191330">
              <w:rPr>
                <w:rFonts w:ascii="Arial" w:hAnsi="Arial"/>
                <w:sz w:val="22"/>
              </w:rPr>
              <w:t>la</w:t>
            </w:r>
            <w:r>
              <w:rPr>
                <w:rFonts w:ascii="Arial" w:hAnsi="Arial"/>
                <w:sz w:val="22"/>
              </w:rPr>
              <w:t xml:space="preserve"> capacité</w:t>
            </w:r>
            <w:r w:rsidR="00191330">
              <w:rPr>
                <w:rFonts w:ascii="Arial" w:hAnsi="Arial"/>
                <w:sz w:val="22"/>
              </w:rPr>
              <w:t xml:space="preserve"> de la Commission </w:t>
            </w:r>
            <w:r>
              <w:rPr>
                <w:rFonts w:ascii="Arial" w:hAnsi="Arial"/>
                <w:sz w:val="22"/>
              </w:rPr>
              <w:t>à analyser les effets des activités antérieures dans une région au moment d</w:t>
            </w:r>
            <w:r w:rsidR="000B4D1F">
              <w:rPr>
                <w:rFonts w:ascii="Arial" w:hAnsi="Arial"/>
                <w:sz w:val="22"/>
              </w:rPr>
              <w:t>’</w:t>
            </w:r>
            <w:r>
              <w:rPr>
                <w:rFonts w:ascii="Arial" w:hAnsi="Arial"/>
                <w:sz w:val="22"/>
              </w:rPr>
              <w:t>évaluer les effets cumulatifs.</w:t>
            </w:r>
          </w:p>
        </w:tc>
        <w:tc>
          <w:tcPr>
            <w:tcW w:w="2532" w:type="pct"/>
            <w:tcMar>
              <w:top w:w="0" w:type="dxa"/>
              <w:left w:w="108" w:type="dxa"/>
              <w:bottom w:w="0" w:type="dxa"/>
              <w:right w:w="108" w:type="dxa"/>
            </w:tcMar>
          </w:tcPr>
          <w:p w14:paraId="6D54F205" w14:textId="7480BF35" w:rsidR="00B56E22" w:rsidRDefault="00A521F0" w:rsidP="00B56E22">
            <w:pPr>
              <w:rPr>
                <w:rFonts w:ascii="Arial" w:hAnsi="Arial"/>
                <w:sz w:val="22"/>
              </w:rPr>
            </w:pPr>
            <w:r>
              <w:rPr>
                <w:rFonts w:ascii="Arial" w:hAnsi="Arial"/>
                <w:sz w:val="22"/>
              </w:rPr>
              <w:t xml:space="preserve">Le gouvernement du Canada </w:t>
            </w:r>
            <w:r w:rsidR="000F4B95">
              <w:rPr>
                <w:rFonts w:ascii="Arial" w:hAnsi="Arial"/>
                <w:sz w:val="22"/>
              </w:rPr>
              <w:t>adhère à</w:t>
            </w:r>
            <w:r>
              <w:rPr>
                <w:rFonts w:ascii="Arial" w:hAnsi="Arial"/>
                <w:sz w:val="22"/>
              </w:rPr>
              <w:t xml:space="preserve"> l’intention de cette recommandation</w:t>
            </w:r>
            <w:r w:rsidR="00191330" w:rsidRPr="00191330">
              <w:rPr>
                <w:rFonts w:ascii="Arial" w:hAnsi="Arial"/>
                <w:sz w:val="22"/>
              </w:rPr>
              <w:t xml:space="preserve"> et </w:t>
            </w:r>
            <w:r w:rsidR="0004408F">
              <w:rPr>
                <w:rFonts w:ascii="Arial" w:hAnsi="Arial"/>
                <w:sz w:val="22"/>
              </w:rPr>
              <w:t>reste</w:t>
            </w:r>
            <w:r w:rsidR="00191330" w:rsidRPr="00191330">
              <w:rPr>
                <w:rFonts w:ascii="Arial" w:hAnsi="Arial"/>
                <w:sz w:val="22"/>
              </w:rPr>
              <w:t xml:space="preserve"> déterminé à fournir aux promoteurs des exigences claires concernant les informations et les études requises pour évaluer les effets cumulatifs potentiels lors des évaluations d'impact</w:t>
            </w:r>
            <w:r>
              <w:rPr>
                <w:rFonts w:ascii="Arial" w:hAnsi="Arial"/>
                <w:sz w:val="22"/>
              </w:rPr>
              <w:t>.</w:t>
            </w:r>
          </w:p>
          <w:p w14:paraId="2E1333A7" w14:textId="2761C87C" w:rsidR="00A521F0" w:rsidRDefault="00A521F0" w:rsidP="00B56E22">
            <w:pPr>
              <w:rPr>
                <w:rFonts w:ascii="Arial" w:hAnsi="Arial" w:cs="Arial"/>
                <w:sz w:val="22"/>
                <w:szCs w:val="22"/>
              </w:rPr>
            </w:pPr>
          </w:p>
          <w:p w14:paraId="429CB98F" w14:textId="134B4AA6" w:rsidR="00005D9E" w:rsidRDefault="00A521F0" w:rsidP="00B56E22">
            <w:pPr>
              <w:rPr>
                <w:rFonts w:ascii="Arial" w:hAnsi="Arial" w:cs="Arial"/>
                <w:sz w:val="22"/>
                <w:szCs w:val="22"/>
              </w:rPr>
            </w:pPr>
            <w:r>
              <w:rPr>
                <w:rFonts w:ascii="Arial" w:hAnsi="Arial"/>
                <w:sz w:val="22"/>
              </w:rPr>
              <w:t xml:space="preserve">La </w:t>
            </w:r>
            <w:r>
              <w:rPr>
                <w:rFonts w:ascii="Arial" w:hAnsi="Arial"/>
                <w:i/>
                <w:iCs/>
                <w:sz w:val="22"/>
              </w:rPr>
              <w:t>Loi sur l’évaluation d’impact</w:t>
            </w:r>
            <w:r>
              <w:rPr>
                <w:rFonts w:ascii="Arial" w:hAnsi="Arial"/>
                <w:sz w:val="22"/>
              </w:rPr>
              <w:t xml:space="preserve"> (LEI) exige une évaluation de «</w:t>
            </w:r>
            <w:r w:rsidR="00B3657D">
              <w:rPr>
                <w:rFonts w:ascii="Arial" w:hAnsi="Arial"/>
                <w:sz w:val="22"/>
              </w:rPr>
              <w:t> </w:t>
            </w:r>
            <w:r>
              <w:rPr>
                <w:rFonts w:ascii="Arial" w:hAnsi="Arial"/>
                <w:sz w:val="22"/>
              </w:rPr>
              <w:t>tous les effets cumulatifs que sa réalisation, combinée à l’exercice d’autres activités concrètes, passées ou futures, est susceptible de causer</w:t>
            </w:r>
            <w:r w:rsidR="00B3657D">
              <w:rPr>
                <w:rFonts w:ascii="Arial" w:hAnsi="Arial"/>
                <w:sz w:val="22"/>
              </w:rPr>
              <w:t> </w:t>
            </w:r>
            <w:r>
              <w:rPr>
                <w:rFonts w:ascii="Arial" w:hAnsi="Arial"/>
                <w:sz w:val="22"/>
              </w:rPr>
              <w:t xml:space="preserve">». Ces activités peuvent comprendre, s’il y a lieu, les activités préindustrielles. Cette exigence est reflétée dans les lignes directrices individualisées relatives à l’étude d’impact (LDIREI) élaborées pour chaque évaluation, qui exigent du promoteur qu’il fournisse une évaluation des effets cumulatifs du projet tenant compte des autres projets </w:t>
            </w:r>
            <w:r w:rsidR="00FA0DFE">
              <w:rPr>
                <w:rFonts w:ascii="Arial" w:hAnsi="Arial"/>
                <w:sz w:val="22"/>
              </w:rPr>
              <w:t xml:space="preserve">et activités concrètes </w:t>
            </w:r>
            <w:r>
              <w:rPr>
                <w:rFonts w:ascii="Arial" w:hAnsi="Arial"/>
                <w:sz w:val="22"/>
              </w:rPr>
              <w:t>passés, actuels et raisonnablement prévisibles.</w:t>
            </w:r>
            <w:r w:rsidR="00B56E22">
              <w:rPr>
                <w:rFonts w:ascii="Arial" w:hAnsi="Arial"/>
                <w:sz w:val="22"/>
              </w:rPr>
              <w:t xml:space="preserve"> </w:t>
            </w:r>
            <w:r>
              <w:rPr>
                <w:rFonts w:ascii="Arial" w:hAnsi="Arial"/>
                <w:sz w:val="22"/>
              </w:rPr>
              <w:t>Lors de l</w:t>
            </w:r>
            <w:r w:rsidR="000B4D1F">
              <w:rPr>
                <w:rFonts w:ascii="Arial" w:hAnsi="Arial"/>
                <w:sz w:val="22"/>
              </w:rPr>
              <w:t>’</w:t>
            </w:r>
            <w:r>
              <w:rPr>
                <w:rFonts w:ascii="Arial" w:hAnsi="Arial"/>
                <w:sz w:val="22"/>
              </w:rPr>
              <w:t>élaboration des lignes directrices individualisées relatives à l’étude d’impact propres au projet, l</w:t>
            </w:r>
            <w:r w:rsidR="000B4D1F">
              <w:rPr>
                <w:rFonts w:ascii="Arial" w:hAnsi="Arial"/>
                <w:sz w:val="22"/>
              </w:rPr>
              <w:t>’</w:t>
            </w:r>
            <w:r>
              <w:rPr>
                <w:rFonts w:ascii="Arial" w:hAnsi="Arial"/>
                <w:sz w:val="22"/>
              </w:rPr>
              <w:t xml:space="preserve">Agence </w:t>
            </w:r>
            <w:r w:rsidR="00FA0DFE">
              <w:rPr>
                <w:rFonts w:ascii="Arial" w:hAnsi="Arial"/>
                <w:sz w:val="22"/>
              </w:rPr>
              <w:t>étudiera la nécessité ou non</w:t>
            </w:r>
            <w:r>
              <w:rPr>
                <w:rFonts w:ascii="Arial" w:hAnsi="Arial"/>
                <w:sz w:val="22"/>
              </w:rPr>
              <w:t xml:space="preserve"> de demander aux promoteurs de fournir des données de références préindustrielles (historiques) dans l</w:t>
            </w:r>
            <w:r w:rsidR="000B4D1F">
              <w:rPr>
                <w:rFonts w:ascii="Arial" w:hAnsi="Arial"/>
                <w:sz w:val="22"/>
              </w:rPr>
              <w:t>’</w:t>
            </w:r>
            <w:r>
              <w:rPr>
                <w:rFonts w:ascii="Arial" w:hAnsi="Arial"/>
                <w:sz w:val="22"/>
              </w:rPr>
              <w:t>étude d’impact.</w:t>
            </w:r>
          </w:p>
          <w:p w14:paraId="5C859429" w14:textId="14635ABD" w:rsidR="00F36A4B" w:rsidRPr="0072596A" w:rsidRDefault="00F36A4B" w:rsidP="00B56E22">
            <w:pPr>
              <w:rPr>
                <w:rFonts w:ascii="Arial" w:hAnsi="Arial" w:cs="Arial"/>
                <w:sz w:val="22"/>
                <w:szCs w:val="22"/>
              </w:rPr>
            </w:pPr>
          </w:p>
        </w:tc>
      </w:tr>
      <w:tr w:rsidR="00005D9E" w:rsidRPr="0072596A" w14:paraId="326A15E5" w14:textId="77777777" w:rsidTr="00E33E62">
        <w:tc>
          <w:tcPr>
            <w:tcW w:w="296" w:type="pct"/>
          </w:tcPr>
          <w:p w14:paraId="73B46346" w14:textId="4A6E25D6" w:rsidR="00005D9E" w:rsidRPr="0072596A" w:rsidRDefault="00141DF4" w:rsidP="00B56E22">
            <w:pPr>
              <w:rPr>
                <w:rFonts w:ascii="Arial" w:hAnsi="Arial" w:cs="Arial"/>
                <w:b/>
                <w:sz w:val="22"/>
                <w:szCs w:val="22"/>
              </w:rPr>
            </w:pPr>
            <w:r>
              <w:rPr>
                <w:rFonts w:ascii="Arial" w:hAnsi="Arial"/>
                <w:b/>
                <w:sz w:val="22"/>
              </w:rPr>
              <w:t>2</w:t>
            </w:r>
          </w:p>
        </w:tc>
        <w:tc>
          <w:tcPr>
            <w:tcW w:w="2171" w:type="pct"/>
            <w:tcMar>
              <w:top w:w="0" w:type="dxa"/>
              <w:left w:w="108" w:type="dxa"/>
              <w:bottom w:w="0" w:type="dxa"/>
              <w:right w:w="108" w:type="dxa"/>
            </w:tcMar>
          </w:tcPr>
          <w:p w14:paraId="6A516CFD" w14:textId="285DD02D" w:rsidR="00005D9E" w:rsidRPr="0072596A" w:rsidRDefault="0030159E" w:rsidP="00473F2C">
            <w:pPr>
              <w:rPr>
                <w:rFonts w:ascii="Arial" w:hAnsi="Arial" w:cs="Arial"/>
                <w:sz w:val="22"/>
                <w:szCs w:val="22"/>
              </w:rPr>
            </w:pPr>
            <w:r>
              <w:rPr>
                <w:rFonts w:ascii="Arial" w:hAnsi="Arial"/>
                <w:sz w:val="22"/>
              </w:rPr>
              <w:t>La commission recommande que l</w:t>
            </w:r>
            <w:r w:rsidR="000B4D1F">
              <w:rPr>
                <w:rFonts w:ascii="Arial" w:hAnsi="Arial"/>
                <w:sz w:val="22"/>
              </w:rPr>
              <w:t>’</w:t>
            </w:r>
            <w:r>
              <w:rPr>
                <w:rFonts w:ascii="Arial" w:hAnsi="Arial"/>
                <w:sz w:val="22"/>
              </w:rPr>
              <w:t>Agence d’évaluation d’impact du Canada et l</w:t>
            </w:r>
            <w:r w:rsidR="000B4D1F">
              <w:rPr>
                <w:rFonts w:ascii="Arial" w:hAnsi="Arial"/>
                <w:sz w:val="22"/>
              </w:rPr>
              <w:t>’</w:t>
            </w:r>
            <w:r>
              <w:rPr>
                <w:rFonts w:ascii="Arial" w:hAnsi="Arial"/>
                <w:sz w:val="22"/>
              </w:rPr>
              <w:t xml:space="preserve">Alberta Energy Regulator envisagent de modifier leurs exigences </w:t>
            </w:r>
            <w:r w:rsidR="00EF07F9">
              <w:rPr>
                <w:rFonts w:ascii="Arial" w:hAnsi="Arial"/>
                <w:sz w:val="22"/>
              </w:rPr>
              <w:t>relatives à l</w:t>
            </w:r>
            <w:r>
              <w:rPr>
                <w:rFonts w:ascii="Arial" w:hAnsi="Arial"/>
                <w:sz w:val="22"/>
              </w:rPr>
              <w:t xml:space="preserve">’EIE pour demander au promoteur de fournir une évaluation d’impact consolidée qui </w:t>
            </w:r>
            <w:r w:rsidR="00EF07F9">
              <w:rPr>
                <w:rFonts w:ascii="Arial" w:hAnsi="Arial"/>
                <w:sz w:val="22"/>
              </w:rPr>
              <w:t xml:space="preserve">intègre </w:t>
            </w:r>
            <w:r>
              <w:rPr>
                <w:rFonts w:ascii="Arial" w:hAnsi="Arial"/>
                <w:sz w:val="22"/>
              </w:rPr>
              <w:t xml:space="preserve">toutes les modifications apportées au projet et </w:t>
            </w:r>
            <w:r w:rsidR="00EF07F9">
              <w:rPr>
                <w:rFonts w:ascii="Arial" w:hAnsi="Arial"/>
                <w:sz w:val="22"/>
              </w:rPr>
              <w:t>toutes l</w:t>
            </w:r>
            <w:r>
              <w:rPr>
                <w:rFonts w:ascii="Arial" w:hAnsi="Arial"/>
                <w:sz w:val="22"/>
              </w:rPr>
              <w:t xml:space="preserve">es mises à jour de </w:t>
            </w:r>
            <w:r w:rsidR="00EF07F9">
              <w:rPr>
                <w:rFonts w:ascii="Arial" w:hAnsi="Arial"/>
                <w:sz w:val="22"/>
              </w:rPr>
              <w:t>l’</w:t>
            </w:r>
            <w:r>
              <w:rPr>
                <w:rFonts w:ascii="Arial" w:hAnsi="Arial"/>
                <w:sz w:val="22"/>
              </w:rPr>
              <w:t xml:space="preserve">information dans un seul ensemble de documents avant les audiences publiques et </w:t>
            </w:r>
            <w:r w:rsidR="00EF07F9">
              <w:rPr>
                <w:rFonts w:ascii="Arial" w:hAnsi="Arial"/>
                <w:sz w:val="22"/>
              </w:rPr>
              <w:t xml:space="preserve">avant </w:t>
            </w:r>
            <w:r>
              <w:rPr>
                <w:rFonts w:ascii="Arial" w:hAnsi="Arial"/>
                <w:sz w:val="22"/>
              </w:rPr>
              <w:t xml:space="preserve">les décisions des organismes de réglementation et des autorités responsables. Plusieurs participants ont </w:t>
            </w:r>
            <w:r w:rsidR="00473F2C">
              <w:rPr>
                <w:rFonts w:ascii="Arial" w:hAnsi="Arial"/>
                <w:sz w:val="22"/>
              </w:rPr>
              <w:t xml:space="preserve">souligné </w:t>
            </w:r>
            <w:r>
              <w:rPr>
                <w:rFonts w:ascii="Arial" w:hAnsi="Arial"/>
                <w:sz w:val="22"/>
              </w:rPr>
              <w:t xml:space="preserve">que le format de l’information </w:t>
            </w:r>
            <w:r w:rsidR="00473F2C">
              <w:rPr>
                <w:rFonts w:ascii="Arial" w:hAnsi="Arial"/>
                <w:sz w:val="22"/>
              </w:rPr>
              <w:t>dans la demande</w:t>
            </w:r>
            <w:r>
              <w:rPr>
                <w:rFonts w:ascii="Arial" w:hAnsi="Arial"/>
                <w:sz w:val="22"/>
              </w:rPr>
              <w:t xml:space="preserve"> de Benga était compliqué parce que l’information était disséminée dans </w:t>
            </w:r>
            <w:r w:rsidR="00473F2C">
              <w:rPr>
                <w:rFonts w:ascii="Arial" w:hAnsi="Arial"/>
                <w:sz w:val="22"/>
              </w:rPr>
              <w:t xml:space="preserve">la trousse </w:t>
            </w:r>
            <w:r>
              <w:rPr>
                <w:rFonts w:ascii="Arial" w:hAnsi="Arial"/>
                <w:sz w:val="22"/>
              </w:rPr>
              <w:t>original</w:t>
            </w:r>
            <w:r w:rsidR="00473F2C">
              <w:rPr>
                <w:rFonts w:ascii="Arial" w:hAnsi="Arial"/>
                <w:sz w:val="22"/>
              </w:rPr>
              <w:t>e</w:t>
            </w:r>
            <w:r>
              <w:rPr>
                <w:rFonts w:ascii="Arial" w:hAnsi="Arial"/>
                <w:sz w:val="22"/>
              </w:rPr>
              <w:t xml:space="preserve"> de documents de </w:t>
            </w:r>
            <w:r w:rsidR="00473F2C">
              <w:rPr>
                <w:rFonts w:ascii="Arial" w:hAnsi="Arial"/>
                <w:sz w:val="22"/>
              </w:rPr>
              <w:t xml:space="preserve">demande </w:t>
            </w:r>
            <w:r>
              <w:rPr>
                <w:rFonts w:ascii="Arial" w:hAnsi="Arial"/>
                <w:sz w:val="22"/>
              </w:rPr>
              <w:t>présenté</w:t>
            </w:r>
            <w:r w:rsidR="00473F2C">
              <w:rPr>
                <w:rFonts w:ascii="Arial" w:hAnsi="Arial"/>
                <w:sz w:val="22"/>
              </w:rPr>
              <w:t>e</w:t>
            </w:r>
            <w:r>
              <w:rPr>
                <w:rFonts w:ascii="Arial" w:hAnsi="Arial"/>
                <w:sz w:val="22"/>
              </w:rPr>
              <w:t xml:space="preserve"> en 2016 et dans 12</w:t>
            </w:r>
            <w:r w:rsidR="00B3657D">
              <w:rPr>
                <w:rFonts w:ascii="Arial" w:hAnsi="Arial"/>
                <w:sz w:val="22"/>
              </w:rPr>
              <w:t> </w:t>
            </w:r>
            <w:r w:rsidR="00473F2C">
              <w:rPr>
                <w:rFonts w:ascii="Arial" w:hAnsi="Arial"/>
                <w:sz w:val="22"/>
              </w:rPr>
              <w:t xml:space="preserve">addendas </w:t>
            </w:r>
            <w:r>
              <w:rPr>
                <w:rFonts w:ascii="Arial" w:hAnsi="Arial"/>
                <w:sz w:val="22"/>
              </w:rPr>
              <w:t xml:space="preserve">présentés entre 2017 et 2020. Dans ces </w:t>
            </w:r>
            <w:r w:rsidR="00473F2C">
              <w:rPr>
                <w:rFonts w:ascii="Arial" w:hAnsi="Arial"/>
                <w:sz w:val="22"/>
              </w:rPr>
              <w:t>addendas</w:t>
            </w:r>
            <w:r>
              <w:rPr>
                <w:rFonts w:ascii="Arial" w:hAnsi="Arial"/>
                <w:sz w:val="22"/>
              </w:rPr>
              <w:t xml:space="preserve">, Benga a mis à jour ou révisé une partie de l’information présentée dans </w:t>
            </w:r>
            <w:r w:rsidR="00473F2C">
              <w:rPr>
                <w:rFonts w:ascii="Arial" w:hAnsi="Arial"/>
                <w:sz w:val="22"/>
              </w:rPr>
              <w:t xml:space="preserve">la trousse </w:t>
            </w:r>
            <w:r>
              <w:rPr>
                <w:rFonts w:ascii="Arial" w:hAnsi="Arial"/>
                <w:sz w:val="22"/>
              </w:rPr>
              <w:t>original</w:t>
            </w:r>
            <w:r w:rsidR="00473F2C">
              <w:rPr>
                <w:rFonts w:ascii="Arial" w:hAnsi="Arial"/>
                <w:sz w:val="22"/>
              </w:rPr>
              <w:t>e</w:t>
            </w:r>
            <w:r>
              <w:rPr>
                <w:rFonts w:ascii="Arial" w:hAnsi="Arial"/>
                <w:sz w:val="22"/>
              </w:rPr>
              <w:t xml:space="preserve"> de </w:t>
            </w:r>
            <w:r w:rsidR="00473F2C">
              <w:rPr>
                <w:rFonts w:ascii="Arial" w:hAnsi="Arial"/>
                <w:sz w:val="22"/>
              </w:rPr>
              <w:t>demande</w:t>
            </w:r>
            <w:r>
              <w:rPr>
                <w:rFonts w:ascii="Arial" w:hAnsi="Arial"/>
                <w:sz w:val="22"/>
              </w:rPr>
              <w:t>.</w:t>
            </w:r>
          </w:p>
        </w:tc>
        <w:tc>
          <w:tcPr>
            <w:tcW w:w="2532" w:type="pct"/>
            <w:tcMar>
              <w:top w:w="0" w:type="dxa"/>
              <w:left w:w="108" w:type="dxa"/>
              <w:bottom w:w="0" w:type="dxa"/>
              <w:right w:w="108" w:type="dxa"/>
            </w:tcMar>
          </w:tcPr>
          <w:p w14:paraId="12929A0D" w14:textId="093BAE57" w:rsidR="00B56E22" w:rsidRDefault="00A521F0" w:rsidP="00B56E22">
            <w:pPr>
              <w:rPr>
                <w:rFonts w:ascii="Arial" w:hAnsi="Arial"/>
                <w:sz w:val="22"/>
              </w:rPr>
            </w:pPr>
            <w:r>
              <w:rPr>
                <w:rFonts w:ascii="Arial" w:hAnsi="Arial"/>
                <w:sz w:val="22"/>
              </w:rPr>
              <w:t xml:space="preserve">Le gouvernement du Canada </w:t>
            </w:r>
            <w:r w:rsidR="00EF07F9">
              <w:rPr>
                <w:rFonts w:ascii="Arial" w:hAnsi="Arial"/>
                <w:sz w:val="22"/>
              </w:rPr>
              <w:t>adhère à</w:t>
            </w:r>
            <w:r>
              <w:rPr>
                <w:rFonts w:ascii="Arial" w:hAnsi="Arial"/>
                <w:sz w:val="22"/>
              </w:rPr>
              <w:t xml:space="preserve"> l’intention de cette recommandation. Le gouvernement du Canada soutient un processus d</w:t>
            </w:r>
            <w:r w:rsidR="000B4D1F">
              <w:rPr>
                <w:rFonts w:ascii="Arial" w:hAnsi="Arial"/>
                <w:sz w:val="22"/>
              </w:rPr>
              <w:t>’</w:t>
            </w:r>
            <w:r>
              <w:rPr>
                <w:rFonts w:ascii="Arial" w:hAnsi="Arial"/>
                <w:sz w:val="22"/>
              </w:rPr>
              <w:t>évaluation d’impact qui est ouvert et transparent, et le site internet du Registre canadien d</w:t>
            </w:r>
            <w:r w:rsidR="000B4D1F">
              <w:rPr>
                <w:rFonts w:ascii="Arial" w:hAnsi="Arial"/>
                <w:sz w:val="22"/>
              </w:rPr>
              <w:t>’</w:t>
            </w:r>
            <w:r>
              <w:rPr>
                <w:rFonts w:ascii="Arial" w:hAnsi="Arial"/>
                <w:sz w:val="22"/>
              </w:rPr>
              <w:t>évaluation d’impact vise à faciliter l</w:t>
            </w:r>
            <w:r w:rsidR="000B4D1F">
              <w:rPr>
                <w:rFonts w:ascii="Arial" w:hAnsi="Arial"/>
                <w:sz w:val="22"/>
              </w:rPr>
              <w:t>’</w:t>
            </w:r>
            <w:r>
              <w:rPr>
                <w:rFonts w:ascii="Arial" w:hAnsi="Arial"/>
                <w:sz w:val="22"/>
              </w:rPr>
              <w:t>accès public aux dossiers associés aux évaluations d’impact.</w:t>
            </w:r>
          </w:p>
          <w:p w14:paraId="0245D444" w14:textId="6ED593C3" w:rsidR="00A521F0" w:rsidRDefault="00A521F0" w:rsidP="00B56E22">
            <w:pPr>
              <w:rPr>
                <w:rFonts w:ascii="Arial" w:hAnsi="Arial" w:cs="Arial"/>
                <w:sz w:val="22"/>
                <w:szCs w:val="22"/>
              </w:rPr>
            </w:pPr>
          </w:p>
          <w:p w14:paraId="54531D21" w14:textId="283C07A8" w:rsidR="00B56E22" w:rsidRDefault="00A521F0" w:rsidP="00B56E22">
            <w:pPr>
              <w:rPr>
                <w:rFonts w:ascii="Arial" w:hAnsi="Arial"/>
                <w:sz w:val="22"/>
              </w:rPr>
            </w:pPr>
            <w:r>
              <w:rPr>
                <w:rFonts w:ascii="Arial" w:hAnsi="Arial"/>
                <w:sz w:val="22"/>
              </w:rPr>
              <w:t xml:space="preserve">La LEI exige des promoteurs qu’ils présentent une étude d’impact qui contient toute l’information et les études </w:t>
            </w:r>
            <w:r w:rsidR="00473F2C">
              <w:rPr>
                <w:rFonts w:ascii="Arial" w:hAnsi="Arial"/>
                <w:sz w:val="22"/>
              </w:rPr>
              <w:t xml:space="preserve">requises </w:t>
            </w:r>
            <w:r>
              <w:rPr>
                <w:rFonts w:ascii="Arial" w:hAnsi="Arial"/>
                <w:sz w:val="22"/>
              </w:rPr>
              <w:t xml:space="preserve">dans les </w:t>
            </w:r>
            <w:r w:rsidR="00191330">
              <w:rPr>
                <w:rFonts w:ascii="Arial" w:hAnsi="Arial"/>
                <w:sz w:val="22"/>
              </w:rPr>
              <w:t>LDIREI</w:t>
            </w:r>
            <w:r>
              <w:rPr>
                <w:rFonts w:ascii="Arial" w:hAnsi="Arial"/>
                <w:sz w:val="22"/>
              </w:rPr>
              <w:t>. L’Agence attend d</w:t>
            </w:r>
            <w:r w:rsidR="00191330">
              <w:rPr>
                <w:rFonts w:ascii="Arial" w:hAnsi="Arial"/>
                <w:sz w:val="22"/>
              </w:rPr>
              <w:t>es</w:t>
            </w:r>
            <w:r>
              <w:rPr>
                <w:rFonts w:ascii="Arial" w:hAnsi="Arial"/>
                <w:sz w:val="22"/>
              </w:rPr>
              <w:t xml:space="preserve"> promoteur</w:t>
            </w:r>
            <w:r w:rsidR="00191330">
              <w:rPr>
                <w:rFonts w:ascii="Arial" w:hAnsi="Arial"/>
                <w:sz w:val="22"/>
              </w:rPr>
              <w:t>s</w:t>
            </w:r>
            <w:r>
              <w:rPr>
                <w:rFonts w:ascii="Arial" w:hAnsi="Arial"/>
                <w:sz w:val="22"/>
              </w:rPr>
              <w:t xml:space="preserve"> qu’il fournisse</w:t>
            </w:r>
            <w:r w:rsidR="00191330">
              <w:rPr>
                <w:rFonts w:ascii="Arial" w:hAnsi="Arial"/>
                <w:sz w:val="22"/>
              </w:rPr>
              <w:t>nt</w:t>
            </w:r>
            <w:r>
              <w:rPr>
                <w:rFonts w:ascii="Arial" w:hAnsi="Arial"/>
                <w:sz w:val="22"/>
              </w:rPr>
              <w:t xml:space="preserve"> l’information pour soutenir </w:t>
            </w:r>
            <w:r w:rsidR="00191330">
              <w:rPr>
                <w:rFonts w:ascii="Arial" w:hAnsi="Arial"/>
                <w:sz w:val="22"/>
              </w:rPr>
              <w:t xml:space="preserve">ses </w:t>
            </w:r>
            <w:r>
              <w:rPr>
                <w:rFonts w:ascii="Arial" w:hAnsi="Arial"/>
                <w:sz w:val="22"/>
              </w:rPr>
              <w:t>étude</w:t>
            </w:r>
            <w:r w:rsidR="00191330">
              <w:rPr>
                <w:rFonts w:ascii="Arial" w:hAnsi="Arial"/>
                <w:sz w:val="22"/>
              </w:rPr>
              <w:t>s</w:t>
            </w:r>
            <w:r>
              <w:rPr>
                <w:rFonts w:ascii="Arial" w:hAnsi="Arial"/>
                <w:sz w:val="22"/>
              </w:rPr>
              <w:t xml:space="preserve"> d’impact dans un ensemble de documents consolidé. Si une étude d’impact présente des lacunes, l</w:t>
            </w:r>
            <w:r w:rsidR="000B4D1F">
              <w:rPr>
                <w:rFonts w:ascii="Arial" w:hAnsi="Arial"/>
                <w:sz w:val="22"/>
              </w:rPr>
              <w:t>’</w:t>
            </w:r>
            <w:r>
              <w:rPr>
                <w:rFonts w:ascii="Arial" w:hAnsi="Arial"/>
                <w:sz w:val="22"/>
              </w:rPr>
              <w:t>Agence</w:t>
            </w:r>
            <w:r w:rsidR="00191330">
              <w:t xml:space="preserve"> </w:t>
            </w:r>
            <w:r>
              <w:rPr>
                <w:rFonts w:ascii="Arial" w:hAnsi="Arial"/>
                <w:sz w:val="22"/>
              </w:rPr>
              <w:t xml:space="preserve">exigera du promoteur qu’il fournisse l’information manquante ou qu’il fasse des révisions. Bien que cette information </w:t>
            </w:r>
            <w:r w:rsidR="00473F2C">
              <w:rPr>
                <w:rFonts w:ascii="Arial" w:hAnsi="Arial"/>
                <w:sz w:val="22"/>
              </w:rPr>
              <w:t xml:space="preserve">doive </w:t>
            </w:r>
            <w:r>
              <w:rPr>
                <w:rFonts w:ascii="Arial" w:hAnsi="Arial"/>
                <w:sz w:val="22"/>
              </w:rPr>
              <w:t>être présentée séparément à l’Agence, elle sera affichée sur le Registre canadien d’évaluation d’impact comme dossier distinct, accessible au public.</w:t>
            </w:r>
          </w:p>
          <w:p w14:paraId="3507B1B0" w14:textId="1D2CA217" w:rsidR="00A521F0" w:rsidRDefault="00A521F0" w:rsidP="00B56E22">
            <w:pPr>
              <w:rPr>
                <w:rFonts w:ascii="Arial" w:hAnsi="Arial" w:cs="Arial"/>
                <w:sz w:val="22"/>
                <w:szCs w:val="22"/>
              </w:rPr>
            </w:pPr>
          </w:p>
          <w:p w14:paraId="4856675C" w14:textId="47BD3A77" w:rsidR="00B56E22" w:rsidRDefault="00A521F0" w:rsidP="00B56E22">
            <w:pPr>
              <w:rPr>
                <w:rFonts w:ascii="Arial" w:hAnsi="Arial"/>
                <w:sz w:val="22"/>
              </w:rPr>
            </w:pPr>
            <w:r>
              <w:rPr>
                <w:rFonts w:ascii="Arial" w:hAnsi="Arial"/>
                <w:sz w:val="22"/>
              </w:rPr>
              <w:t xml:space="preserve">De plus, au besoin, afin d’aider le public à trouver </w:t>
            </w:r>
            <w:r w:rsidR="00257F7E">
              <w:rPr>
                <w:rFonts w:ascii="Arial" w:hAnsi="Arial"/>
                <w:sz w:val="22"/>
              </w:rPr>
              <w:t xml:space="preserve">de </w:t>
            </w:r>
            <w:r>
              <w:rPr>
                <w:rFonts w:ascii="Arial" w:hAnsi="Arial"/>
                <w:sz w:val="22"/>
              </w:rPr>
              <w:t xml:space="preserve">l’information essentielle associée à une </w:t>
            </w:r>
            <w:r w:rsidR="00257F7E">
              <w:rPr>
                <w:rFonts w:ascii="Arial" w:hAnsi="Arial"/>
                <w:sz w:val="22"/>
              </w:rPr>
              <w:t xml:space="preserve">évaluation </w:t>
            </w:r>
            <w:r>
              <w:rPr>
                <w:rFonts w:ascii="Arial" w:hAnsi="Arial"/>
                <w:sz w:val="22"/>
              </w:rPr>
              <w:t>d’impact, l’Agence s’engage à préparer un document de ressources comportant des liens vers les documents principaux et à rendre ces documents facilement accessibles sur le Registre canadien d’évaluation d’impact.</w:t>
            </w:r>
          </w:p>
          <w:p w14:paraId="27383586" w14:textId="13914D7D" w:rsidR="00F36A4B" w:rsidRPr="0072596A" w:rsidRDefault="00F36A4B" w:rsidP="00B56E22">
            <w:pPr>
              <w:rPr>
                <w:rFonts w:ascii="Arial" w:hAnsi="Arial" w:cs="Arial"/>
                <w:sz w:val="22"/>
                <w:szCs w:val="22"/>
              </w:rPr>
            </w:pPr>
          </w:p>
        </w:tc>
      </w:tr>
      <w:tr w:rsidR="00005D9E" w:rsidRPr="0072596A" w14:paraId="4F0CE036" w14:textId="77777777" w:rsidTr="00E33E62">
        <w:tc>
          <w:tcPr>
            <w:tcW w:w="296" w:type="pct"/>
          </w:tcPr>
          <w:p w14:paraId="2AD6BF38" w14:textId="6933549D" w:rsidR="00005D9E" w:rsidRPr="0072596A" w:rsidRDefault="00141DF4" w:rsidP="00B56E22">
            <w:pPr>
              <w:rPr>
                <w:rFonts w:ascii="Arial" w:hAnsi="Arial" w:cs="Arial"/>
                <w:b/>
                <w:sz w:val="22"/>
                <w:szCs w:val="22"/>
              </w:rPr>
            </w:pPr>
            <w:r>
              <w:rPr>
                <w:rFonts w:ascii="Arial" w:hAnsi="Arial"/>
                <w:b/>
                <w:sz w:val="22"/>
              </w:rPr>
              <w:t>3</w:t>
            </w:r>
          </w:p>
        </w:tc>
        <w:tc>
          <w:tcPr>
            <w:tcW w:w="2171" w:type="pct"/>
            <w:tcMar>
              <w:top w:w="0" w:type="dxa"/>
              <w:left w:w="108" w:type="dxa"/>
              <w:bottom w:w="0" w:type="dxa"/>
              <w:right w:w="108" w:type="dxa"/>
            </w:tcMar>
          </w:tcPr>
          <w:p w14:paraId="0B7296B2" w14:textId="4E6C44D3" w:rsidR="00005D9E" w:rsidRPr="0072596A" w:rsidRDefault="00E72609" w:rsidP="00244846">
            <w:pPr>
              <w:rPr>
                <w:rFonts w:ascii="Arial" w:hAnsi="Arial" w:cs="Arial"/>
                <w:sz w:val="22"/>
                <w:szCs w:val="22"/>
              </w:rPr>
            </w:pPr>
            <w:r>
              <w:rPr>
                <w:rFonts w:ascii="Arial" w:hAnsi="Arial"/>
                <w:sz w:val="22"/>
              </w:rPr>
              <w:t xml:space="preserve">La commission recommande que le gouvernement du Canada finalise et mette en œuvre, dès que possible, le </w:t>
            </w:r>
            <w:r w:rsidR="00244846">
              <w:rPr>
                <w:rFonts w:ascii="Arial" w:hAnsi="Arial"/>
                <w:sz w:val="22"/>
              </w:rPr>
              <w:t>R</w:t>
            </w:r>
            <w:r>
              <w:rPr>
                <w:rFonts w:ascii="Arial" w:hAnsi="Arial"/>
                <w:sz w:val="22"/>
              </w:rPr>
              <w:t xml:space="preserve">èglement sur les effluents des mines de charbon aux termes de la </w:t>
            </w:r>
            <w:r>
              <w:rPr>
                <w:rFonts w:ascii="Arial" w:hAnsi="Arial"/>
                <w:i/>
                <w:iCs/>
                <w:sz w:val="22"/>
              </w:rPr>
              <w:t>Loi sur les pêches</w:t>
            </w:r>
            <w:r>
              <w:rPr>
                <w:rFonts w:ascii="Arial" w:hAnsi="Arial"/>
                <w:sz w:val="22"/>
              </w:rPr>
              <w:t xml:space="preserve">. La commission reconnaît qu’il </w:t>
            </w:r>
            <w:r w:rsidR="00244846">
              <w:rPr>
                <w:rFonts w:ascii="Arial" w:hAnsi="Arial"/>
                <w:sz w:val="22"/>
              </w:rPr>
              <w:t xml:space="preserve">y avait </w:t>
            </w:r>
            <w:r>
              <w:rPr>
                <w:rFonts w:ascii="Arial" w:hAnsi="Arial"/>
                <w:sz w:val="22"/>
              </w:rPr>
              <w:t xml:space="preserve">une incertitude </w:t>
            </w:r>
            <w:r w:rsidR="00244846">
              <w:rPr>
                <w:rFonts w:ascii="Arial" w:hAnsi="Arial"/>
                <w:sz w:val="22"/>
              </w:rPr>
              <w:t>quant au fait que le</w:t>
            </w:r>
            <w:r>
              <w:rPr>
                <w:rFonts w:ascii="Arial" w:hAnsi="Arial"/>
                <w:sz w:val="22"/>
              </w:rPr>
              <w:t xml:space="preserve"> projet, </w:t>
            </w:r>
            <w:r w:rsidR="00244846">
              <w:rPr>
                <w:rFonts w:ascii="Arial" w:hAnsi="Arial"/>
                <w:sz w:val="22"/>
              </w:rPr>
              <w:t xml:space="preserve">tel que </w:t>
            </w:r>
            <w:r>
              <w:rPr>
                <w:rFonts w:ascii="Arial" w:hAnsi="Arial"/>
                <w:sz w:val="22"/>
              </w:rPr>
              <w:t xml:space="preserve">proposé, </w:t>
            </w:r>
            <w:r w:rsidR="00244846">
              <w:rPr>
                <w:rFonts w:ascii="Arial" w:hAnsi="Arial"/>
                <w:sz w:val="22"/>
              </w:rPr>
              <w:t xml:space="preserve">pouvait remplir ou non les </w:t>
            </w:r>
            <w:r>
              <w:rPr>
                <w:rFonts w:ascii="Arial" w:hAnsi="Arial"/>
                <w:sz w:val="22"/>
              </w:rPr>
              <w:t>exigences de ce règlement. La commission reconnaît également que le promoteur n</w:t>
            </w:r>
            <w:r w:rsidR="000B4D1F">
              <w:rPr>
                <w:rFonts w:ascii="Arial" w:hAnsi="Arial"/>
                <w:sz w:val="22"/>
              </w:rPr>
              <w:t>’</w:t>
            </w:r>
            <w:r>
              <w:rPr>
                <w:rFonts w:ascii="Arial" w:hAnsi="Arial"/>
                <w:sz w:val="22"/>
              </w:rPr>
              <w:t>était pas soumis à des limites d</w:t>
            </w:r>
            <w:r w:rsidR="000B4D1F">
              <w:rPr>
                <w:rFonts w:ascii="Arial" w:hAnsi="Arial"/>
                <w:sz w:val="22"/>
              </w:rPr>
              <w:t>’</w:t>
            </w:r>
            <w:r>
              <w:rPr>
                <w:rFonts w:ascii="Arial" w:hAnsi="Arial"/>
                <w:sz w:val="22"/>
              </w:rPr>
              <w:t xml:space="preserve">effluents réglementées (comme les limites proposées dans </w:t>
            </w:r>
            <w:r w:rsidR="00244846">
              <w:rPr>
                <w:rFonts w:ascii="Arial" w:hAnsi="Arial"/>
                <w:sz w:val="22"/>
              </w:rPr>
              <w:t xml:space="preserve">la version provisoire </w:t>
            </w:r>
            <w:r>
              <w:rPr>
                <w:rFonts w:ascii="Arial" w:hAnsi="Arial"/>
                <w:sz w:val="22"/>
              </w:rPr>
              <w:t>d</w:t>
            </w:r>
            <w:r w:rsidR="00244846">
              <w:rPr>
                <w:rFonts w:ascii="Arial" w:hAnsi="Arial"/>
                <w:sz w:val="22"/>
              </w:rPr>
              <w:t>u</w:t>
            </w:r>
            <w:r>
              <w:rPr>
                <w:rFonts w:ascii="Arial" w:hAnsi="Arial"/>
                <w:sz w:val="22"/>
              </w:rPr>
              <w:t xml:space="preserve"> règlement) </w:t>
            </w:r>
            <w:r w:rsidR="00244846">
              <w:rPr>
                <w:rFonts w:ascii="Arial" w:hAnsi="Arial"/>
                <w:sz w:val="22"/>
              </w:rPr>
              <w:t>à</w:t>
            </w:r>
            <w:r>
              <w:rPr>
                <w:rFonts w:ascii="Arial" w:hAnsi="Arial"/>
                <w:sz w:val="22"/>
              </w:rPr>
              <w:t xml:space="preserve"> incorpor</w:t>
            </w:r>
            <w:r w:rsidR="00244846">
              <w:rPr>
                <w:rFonts w:ascii="Arial" w:hAnsi="Arial"/>
                <w:sz w:val="22"/>
              </w:rPr>
              <w:t>er</w:t>
            </w:r>
            <w:r>
              <w:rPr>
                <w:rFonts w:ascii="Arial" w:hAnsi="Arial"/>
                <w:sz w:val="22"/>
              </w:rPr>
              <w:t xml:space="preserve"> dans la conception et la planification du projet. La finalisation du </w:t>
            </w:r>
            <w:r w:rsidR="00244846">
              <w:rPr>
                <w:rFonts w:ascii="Arial" w:hAnsi="Arial"/>
                <w:sz w:val="22"/>
              </w:rPr>
              <w:t>R</w:t>
            </w:r>
            <w:r>
              <w:rPr>
                <w:rFonts w:ascii="Arial" w:hAnsi="Arial"/>
                <w:sz w:val="22"/>
              </w:rPr>
              <w:t>èglement sur les effluents des mines de charbon aiderait les promoteurs et les décideurs à évaluer l</w:t>
            </w:r>
            <w:r w:rsidR="000B4D1F">
              <w:rPr>
                <w:rFonts w:ascii="Arial" w:hAnsi="Arial"/>
                <w:sz w:val="22"/>
              </w:rPr>
              <w:t>’</w:t>
            </w:r>
            <w:r>
              <w:rPr>
                <w:rFonts w:ascii="Arial" w:hAnsi="Arial"/>
                <w:sz w:val="22"/>
              </w:rPr>
              <w:t>acceptabilité des rejets proposés des mines de charbon.</w:t>
            </w:r>
          </w:p>
        </w:tc>
        <w:tc>
          <w:tcPr>
            <w:tcW w:w="2532" w:type="pct"/>
            <w:tcMar>
              <w:top w:w="0" w:type="dxa"/>
              <w:left w:w="108" w:type="dxa"/>
              <w:bottom w:w="0" w:type="dxa"/>
              <w:right w:w="108" w:type="dxa"/>
            </w:tcMar>
          </w:tcPr>
          <w:p w14:paraId="0013B900" w14:textId="167BD01A" w:rsidR="00872376" w:rsidRDefault="00872376" w:rsidP="00B56E22">
            <w:pPr>
              <w:spacing w:line="252" w:lineRule="auto"/>
              <w:rPr>
                <w:rFonts w:ascii="Arial" w:hAnsi="Arial" w:cs="Arial"/>
                <w:sz w:val="22"/>
                <w:szCs w:val="22"/>
              </w:rPr>
            </w:pPr>
            <w:r>
              <w:rPr>
                <w:rFonts w:ascii="Arial" w:hAnsi="Arial"/>
                <w:sz w:val="22"/>
              </w:rPr>
              <w:t xml:space="preserve">Le gouvernement du Canada </w:t>
            </w:r>
            <w:r w:rsidR="00244846">
              <w:rPr>
                <w:rFonts w:ascii="Arial" w:hAnsi="Arial"/>
                <w:sz w:val="22"/>
              </w:rPr>
              <w:t>adhère à</w:t>
            </w:r>
            <w:r>
              <w:rPr>
                <w:rFonts w:ascii="Arial" w:hAnsi="Arial"/>
                <w:sz w:val="22"/>
              </w:rPr>
              <w:t xml:space="preserve"> l’intention de cette recommandation.</w:t>
            </w:r>
          </w:p>
          <w:p w14:paraId="42FB283E" w14:textId="77777777" w:rsidR="00872376" w:rsidRDefault="00872376" w:rsidP="00B56E22">
            <w:pPr>
              <w:spacing w:line="252" w:lineRule="auto"/>
              <w:rPr>
                <w:rFonts w:ascii="Arial" w:hAnsi="Arial" w:cs="Arial"/>
                <w:sz w:val="22"/>
                <w:szCs w:val="22"/>
              </w:rPr>
            </w:pPr>
          </w:p>
          <w:p w14:paraId="446433A9" w14:textId="1492BA2E" w:rsidR="00872376" w:rsidRPr="00872376" w:rsidRDefault="00EF4A41" w:rsidP="00B56E22">
            <w:pPr>
              <w:spacing w:line="252" w:lineRule="auto"/>
              <w:rPr>
                <w:rFonts w:ascii="Arial" w:hAnsi="Arial" w:cs="Arial"/>
                <w:sz w:val="22"/>
                <w:szCs w:val="22"/>
              </w:rPr>
            </w:pPr>
            <w:r w:rsidRPr="00EF4A41">
              <w:rPr>
                <w:rFonts w:ascii="Arial" w:hAnsi="Arial"/>
                <w:sz w:val="22"/>
              </w:rPr>
              <w:t xml:space="preserve">Environnement et Changement climatique Canada </w:t>
            </w:r>
            <w:r>
              <w:rPr>
                <w:rFonts w:ascii="Arial" w:hAnsi="Arial"/>
                <w:sz w:val="22"/>
              </w:rPr>
              <w:t>(</w:t>
            </w:r>
            <w:r w:rsidR="00872376">
              <w:rPr>
                <w:rFonts w:ascii="Arial" w:hAnsi="Arial"/>
                <w:sz w:val="22"/>
              </w:rPr>
              <w:t>ECCC</w:t>
            </w:r>
            <w:r>
              <w:rPr>
                <w:rFonts w:ascii="Arial" w:hAnsi="Arial"/>
                <w:sz w:val="22"/>
              </w:rPr>
              <w:t>)</w:t>
            </w:r>
            <w:r w:rsidR="00872376">
              <w:rPr>
                <w:rFonts w:ascii="Arial" w:hAnsi="Arial"/>
                <w:sz w:val="22"/>
              </w:rPr>
              <w:t xml:space="preserve"> prévoit </w:t>
            </w:r>
            <w:r w:rsidR="00D30F8A">
              <w:rPr>
                <w:rFonts w:ascii="Arial" w:hAnsi="Arial"/>
                <w:sz w:val="22"/>
              </w:rPr>
              <w:t xml:space="preserve">de </w:t>
            </w:r>
            <w:r w:rsidR="00872376">
              <w:rPr>
                <w:rFonts w:ascii="Arial" w:hAnsi="Arial"/>
                <w:sz w:val="22"/>
              </w:rPr>
              <w:t>publier, à l’automne</w:t>
            </w:r>
            <w:r w:rsidR="00B3657D">
              <w:rPr>
                <w:rFonts w:ascii="Arial" w:hAnsi="Arial"/>
                <w:sz w:val="22"/>
              </w:rPr>
              <w:t> </w:t>
            </w:r>
            <w:r w:rsidR="00872376">
              <w:rPr>
                <w:rFonts w:ascii="Arial" w:hAnsi="Arial"/>
                <w:sz w:val="22"/>
              </w:rPr>
              <w:t>2021, un document de consultation précisant l</w:t>
            </w:r>
            <w:r w:rsidR="000B4D1F">
              <w:rPr>
                <w:rFonts w:ascii="Arial" w:hAnsi="Arial"/>
                <w:sz w:val="22"/>
              </w:rPr>
              <w:t>’</w:t>
            </w:r>
            <w:r w:rsidR="00872376">
              <w:rPr>
                <w:rFonts w:ascii="Arial" w:hAnsi="Arial"/>
                <w:sz w:val="22"/>
              </w:rPr>
              <w:t xml:space="preserve">approche proposée pour le </w:t>
            </w:r>
            <w:r w:rsidR="00D30F8A">
              <w:rPr>
                <w:rFonts w:ascii="Arial" w:hAnsi="Arial"/>
                <w:sz w:val="22"/>
              </w:rPr>
              <w:t>R</w:t>
            </w:r>
            <w:r w:rsidR="00872376">
              <w:rPr>
                <w:rFonts w:ascii="Arial" w:hAnsi="Arial"/>
                <w:sz w:val="22"/>
              </w:rPr>
              <w:t xml:space="preserve">èglement sur les effluents de mines de charbon aux termes de la </w:t>
            </w:r>
            <w:r w:rsidR="00872376">
              <w:rPr>
                <w:rFonts w:ascii="Arial" w:hAnsi="Arial"/>
                <w:i/>
                <w:iCs/>
                <w:sz w:val="22"/>
              </w:rPr>
              <w:t>Loi sur les pêches</w:t>
            </w:r>
            <w:r w:rsidR="00872376">
              <w:rPr>
                <w:rFonts w:ascii="Arial" w:hAnsi="Arial"/>
                <w:sz w:val="22"/>
              </w:rPr>
              <w:t>. L’approche proposée pour le règlement inclura l’établissement de normes de qualité des effluents pour les substances délétères préoccupantes, notamment le sélénium, le nitrate et les matières solides en suspension. En plus d’instaurer une norme de qualité des effluents, ECCC mènera des consultations sur une proposition visant à inclure, dans le règlement, une obligation de fournir un rapport de situation sur la norme de qualité des effluents de sélénium cinq ans après sa promulgation et une obligation de procéder à un examen du règlement complet 10 ans après sa promulgation. L’examen prévu après 10 ans tiendra compte des résultats obtenus de la surveillance des effets environnementaux et des avancées dans le domaine des technologies d</w:t>
            </w:r>
            <w:r w:rsidR="000B4D1F">
              <w:rPr>
                <w:rFonts w:ascii="Arial" w:hAnsi="Arial"/>
                <w:sz w:val="22"/>
              </w:rPr>
              <w:t>’</w:t>
            </w:r>
            <w:r w:rsidR="00872376">
              <w:rPr>
                <w:rFonts w:ascii="Arial" w:hAnsi="Arial"/>
                <w:sz w:val="22"/>
              </w:rPr>
              <w:t>élimination du sélénium. Cet exercice aura pour objectif d’examiner les résultats de ces examens afin de proposer des modifications au règlement, au besoin. Le règlement proposé serait publié dans la Gazette du Canada, partie</w:t>
            </w:r>
            <w:r w:rsidR="00D30F8A">
              <w:rPr>
                <w:rFonts w:ascii="Arial" w:hAnsi="Arial"/>
                <w:sz w:val="22"/>
              </w:rPr>
              <w:t> </w:t>
            </w:r>
            <w:r w:rsidR="00872376">
              <w:rPr>
                <w:rFonts w:ascii="Arial" w:hAnsi="Arial"/>
                <w:sz w:val="22"/>
              </w:rPr>
              <w:t>I, à l</w:t>
            </w:r>
            <w:r w:rsidR="000B4D1F">
              <w:rPr>
                <w:rFonts w:ascii="Arial" w:hAnsi="Arial"/>
                <w:sz w:val="22"/>
              </w:rPr>
              <w:t>’</w:t>
            </w:r>
            <w:r w:rsidR="00872376">
              <w:rPr>
                <w:rFonts w:ascii="Arial" w:hAnsi="Arial"/>
                <w:sz w:val="22"/>
              </w:rPr>
              <w:t>été</w:t>
            </w:r>
            <w:r w:rsidR="00B3657D">
              <w:rPr>
                <w:rFonts w:ascii="Arial" w:hAnsi="Arial"/>
                <w:sz w:val="22"/>
              </w:rPr>
              <w:t> </w:t>
            </w:r>
            <w:r w:rsidR="00872376">
              <w:rPr>
                <w:rFonts w:ascii="Arial" w:hAnsi="Arial"/>
                <w:sz w:val="22"/>
              </w:rPr>
              <w:t>2022, et devrait être finalisé en 2023.</w:t>
            </w:r>
          </w:p>
          <w:p w14:paraId="531EAF83" w14:textId="77777777" w:rsidR="00872376" w:rsidRPr="00872376" w:rsidRDefault="00872376" w:rsidP="00B56E22">
            <w:pPr>
              <w:spacing w:line="252" w:lineRule="auto"/>
              <w:rPr>
                <w:rFonts w:ascii="Arial" w:hAnsi="Arial" w:cs="Arial"/>
                <w:sz w:val="22"/>
                <w:szCs w:val="22"/>
              </w:rPr>
            </w:pPr>
          </w:p>
          <w:p w14:paraId="59CECFDE" w14:textId="00A7775F" w:rsidR="00B56E22" w:rsidRDefault="00872376" w:rsidP="00B56E22">
            <w:pPr>
              <w:spacing w:line="252" w:lineRule="auto"/>
              <w:rPr>
                <w:rFonts w:ascii="Arial" w:hAnsi="Arial"/>
                <w:sz w:val="22"/>
              </w:rPr>
            </w:pPr>
            <w:r>
              <w:rPr>
                <w:rFonts w:ascii="Arial" w:hAnsi="Arial"/>
                <w:sz w:val="22"/>
              </w:rPr>
              <w:t>En plus du règlement, l’approche proposée permettra de s’assurer que les nouveaux projets d’exploitation du charbon ou les projets d</w:t>
            </w:r>
            <w:r w:rsidR="000B4D1F">
              <w:rPr>
                <w:rFonts w:ascii="Arial" w:hAnsi="Arial"/>
                <w:sz w:val="22"/>
              </w:rPr>
              <w:t>’</w:t>
            </w:r>
            <w:r>
              <w:rPr>
                <w:rFonts w:ascii="Arial" w:hAnsi="Arial"/>
                <w:sz w:val="22"/>
              </w:rPr>
              <w:t xml:space="preserve">agrandissement de telles exploitations font l’objet d’une évaluation environnementale ou </w:t>
            </w:r>
            <w:r w:rsidR="00D30F8A">
              <w:rPr>
                <w:rFonts w:ascii="Arial" w:hAnsi="Arial"/>
                <w:sz w:val="22"/>
              </w:rPr>
              <w:t>d’une évaluation d’</w:t>
            </w:r>
            <w:r>
              <w:rPr>
                <w:rFonts w:ascii="Arial" w:hAnsi="Arial"/>
                <w:sz w:val="22"/>
              </w:rPr>
              <w:t>impact au niveau fédéral</w:t>
            </w:r>
            <w:r w:rsidR="00B3657D">
              <w:rPr>
                <w:rFonts w:ascii="Arial" w:hAnsi="Arial"/>
                <w:sz w:val="22"/>
              </w:rPr>
              <w:t> </w:t>
            </w:r>
            <w:r>
              <w:rPr>
                <w:rFonts w:ascii="Arial" w:hAnsi="Arial"/>
                <w:sz w:val="22"/>
              </w:rPr>
              <w:t xml:space="preserve">; l’évaluation tiendra compte de l’environnement récepteur du site afin de tenir compte des impacts environnementaux </w:t>
            </w:r>
            <w:r w:rsidR="00D30F8A">
              <w:rPr>
                <w:rFonts w:ascii="Arial" w:hAnsi="Arial"/>
                <w:sz w:val="22"/>
              </w:rPr>
              <w:t xml:space="preserve">qui pourraient être </w:t>
            </w:r>
            <w:r>
              <w:rPr>
                <w:rFonts w:ascii="Arial" w:hAnsi="Arial"/>
                <w:sz w:val="22"/>
              </w:rPr>
              <w:lastRenderedPageBreak/>
              <w:t xml:space="preserve">associés à la mine proposée, en présumant </w:t>
            </w:r>
            <w:r w:rsidR="00D30F8A">
              <w:rPr>
                <w:rFonts w:ascii="Arial" w:hAnsi="Arial"/>
                <w:sz w:val="22"/>
              </w:rPr>
              <w:t xml:space="preserve">que celle-ci </w:t>
            </w:r>
            <w:r>
              <w:rPr>
                <w:rFonts w:ascii="Arial" w:hAnsi="Arial"/>
                <w:sz w:val="22"/>
              </w:rPr>
              <w:t>se conforme à la norme de qualité proposée pour les effluents de sélénium.</w:t>
            </w:r>
          </w:p>
          <w:p w14:paraId="45704CDF" w14:textId="35C8220B" w:rsidR="00872376" w:rsidRPr="00872376" w:rsidRDefault="00872376" w:rsidP="00B56E22">
            <w:pPr>
              <w:spacing w:line="252" w:lineRule="auto"/>
              <w:rPr>
                <w:rFonts w:ascii="Arial" w:hAnsi="Arial" w:cs="Arial"/>
                <w:sz w:val="22"/>
                <w:szCs w:val="22"/>
              </w:rPr>
            </w:pPr>
          </w:p>
          <w:p w14:paraId="32D36335" w14:textId="079E911C" w:rsidR="00005D9E" w:rsidRPr="00E33E62" w:rsidRDefault="00872376" w:rsidP="00B56E22">
            <w:pPr>
              <w:spacing w:line="252" w:lineRule="auto"/>
              <w:rPr>
                <w:rStyle w:val="Hyperlink"/>
                <w:rFonts w:ascii="Arial" w:hAnsi="Arial" w:cs="Arial"/>
                <w:sz w:val="22"/>
                <w:szCs w:val="22"/>
              </w:rPr>
            </w:pPr>
            <w:r>
              <w:rPr>
                <w:rFonts w:ascii="Arial" w:hAnsi="Arial"/>
                <w:sz w:val="22"/>
              </w:rPr>
              <w:t>Pour obtenir des mises à jour sur l’état du règlement proposé, veuillez consulter</w:t>
            </w:r>
            <w:r w:rsidR="00B56E22">
              <w:rPr>
                <w:rFonts w:ascii="Arial" w:hAnsi="Arial"/>
                <w:sz w:val="22"/>
              </w:rPr>
              <w:t> :</w:t>
            </w:r>
            <w:r>
              <w:rPr>
                <w:rFonts w:ascii="Arial" w:hAnsi="Arial"/>
                <w:sz w:val="22"/>
              </w:rPr>
              <w:t xml:space="preserve"> </w:t>
            </w:r>
            <w:r w:rsidR="00E33E62">
              <w:rPr>
                <w:rFonts w:ascii="Arial" w:hAnsi="Arial" w:cs="Arial"/>
                <w:sz w:val="22"/>
              </w:rPr>
              <w:fldChar w:fldCharType="begin"/>
            </w:r>
            <w:r w:rsidR="00E33E62">
              <w:rPr>
                <w:rFonts w:ascii="Arial" w:hAnsi="Arial" w:cs="Arial"/>
                <w:sz w:val="22"/>
              </w:rPr>
              <w:instrText xml:space="preserve"> HYPERLINK "https://www.canada.ca/fr/environnement-changement-climatique/services/gestion-pollution/sources-industrie/projet-reglement-effluents-mines-charbon.html" </w:instrText>
            </w:r>
            <w:r w:rsidR="00E33E62">
              <w:rPr>
                <w:rFonts w:ascii="Arial" w:hAnsi="Arial" w:cs="Arial"/>
                <w:sz w:val="22"/>
              </w:rPr>
              <w:fldChar w:fldCharType="separate"/>
            </w:r>
            <w:r>
              <w:rPr>
                <w:rStyle w:val="Hyperlink"/>
                <w:rFonts w:ascii="Arial" w:hAnsi="Arial"/>
                <w:sz w:val="22"/>
              </w:rPr>
              <w:t>Projet de règlement sur les effluents des mines de charbon</w:t>
            </w:r>
            <w:r w:rsidR="00B56E22">
              <w:rPr>
                <w:rStyle w:val="Hyperlink"/>
                <w:rFonts w:ascii="Arial" w:hAnsi="Arial"/>
                <w:sz w:val="22"/>
              </w:rPr>
              <w:t> :</w:t>
            </w:r>
            <w:r>
              <w:rPr>
                <w:rStyle w:val="Hyperlink"/>
                <w:rFonts w:ascii="Arial" w:hAnsi="Arial"/>
                <w:sz w:val="22"/>
              </w:rPr>
              <w:t xml:space="preserve"> aperçu </w:t>
            </w:r>
            <w:r w:rsidR="00B3657D">
              <w:rPr>
                <w:rStyle w:val="Hyperlink"/>
                <w:rFonts w:ascii="Arial" w:hAnsi="Arial"/>
                <w:sz w:val="22"/>
              </w:rPr>
              <w:t>—</w:t>
            </w:r>
            <w:r>
              <w:rPr>
                <w:rStyle w:val="Hyperlink"/>
                <w:rFonts w:ascii="Arial" w:hAnsi="Arial"/>
                <w:sz w:val="22"/>
              </w:rPr>
              <w:t xml:space="preserve"> Canada.ca</w:t>
            </w:r>
          </w:p>
          <w:p w14:paraId="09DF1A9E" w14:textId="34E04266" w:rsidR="00005D9E" w:rsidRPr="0072596A" w:rsidRDefault="00E33E62" w:rsidP="00B56E22">
            <w:pPr>
              <w:rPr>
                <w:rFonts w:ascii="Arial" w:hAnsi="Arial" w:cs="Arial"/>
                <w:b/>
                <w:sz w:val="22"/>
                <w:u w:val="single"/>
              </w:rPr>
            </w:pPr>
            <w:r>
              <w:rPr>
                <w:rFonts w:ascii="Arial" w:hAnsi="Arial" w:cs="Arial"/>
                <w:sz w:val="22"/>
              </w:rPr>
              <w:fldChar w:fldCharType="end"/>
            </w:r>
          </w:p>
        </w:tc>
      </w:tr>
      <w:tr w:rsidR="00005D9E" w:rsidRPr="0072596A" w14:paraId="129B8B26" w14:textId="77777777" w:rsidTr="00E33E62">
        <w:tc>
          <w:tcPr>
            <w:tcW w:w="296" w:type="pct"/>
          </w:tcPr>
          <w:p w14:paraId="3C025607" w14:textId="415FF237" w:rsidR="00005D9E" w:rsidRPr="0072596A" w:rsidRDefault="00141DF4" w:rsidP="00B56E22">
            <w:pPr>
              <w:rPr>
                <w:rFonts w:ascii="Arial" w:hAnsi="Arial" w:cs="Arial"/>
                <w:b/>
                <w:sz w:val="22"/>
                <w:szCs w:val="22"/>
              </w:rPr>
            </w:pPr>
            <w:r>
              <w:rPr>
                <w:rFonts w:ascii="Arial" w:hAnsi="Arial"/>
                <w:b/>
                <w:sz w:val="22"/>
              </w:rPr>
              <w:lastRenderedPageBreak/>
              <w:t>4</w:t>
            </w:r>
          </w:p>
        </w:tc>
        <w:tc>
          <w:tcPr>
            <w:tcW w:w="2171" w:type="pct"/>
            <w:tcMar>
              <w:top w:w="0" w:type="dxa"/>
              <w:left w:w="108" w:type="dxa"/>
              <w:bottom w:w="0" w:type="dxa"/>
              <w:right w:w="108" w:type="dxa"/>
            </w:tcMar>
          </w:tcPr>
          <w:p w14:paraId="40AB1F4A" w14:textId="38A03295" w:rsidR="00005D9E" w:rsidRPr="0072596A" w:rsidRDefault="009F6C4A" w:rsidP="00EF4A41">
            <w:pPr>
              <w:rPr>
                <w:rFonts w:ascii="Arial" w:hAnsi="Arial" w:cs="Arial"/>
                <w:sz w:val="22"/>
                <w:szCs w:val="22"/>
              </w:rPr>
            </w:pPr>
            <w:r>
              <w:rPr>
                <w:rFonts w:ascii="Arial" w:hAnsi="Arial"/>
                <w:sz w:val="22"/>
              </w:rPr>
              <w:t>La commission recommande que le gouvernement du Canada finalise et mette en œuvre, dès que possible, le programme fédéral de rétablissement du pin à écorce blanche en vertu de la</w:t>
            </w:r>
            <w:r w:rsidR="00EF4A41">
              <w:rPr>
                <w:rFonts w:ascii="Arial" w:hAnsi="Arial"/>
                <w:sz w:val="22"/>
              </w:rPr>
              <w:t xml:space="preserve"> </w:t>
            </w:r>
            <w:r w:rsidR="00EF4A41" w:rsidRPr="00EF4A41">
              <w:rPr>
                <w:rFonts w:ascii="Arial" w:hAnsi="Arial"/>
                <w:sz w:val="22"/>
              </w:rPr>
              <w:t>Loi sur les espèces en péril (</w:t>
            </w:r>
            <w:r>
              <w:rPr>
                <w:rFonts w:ascii="Arial" w:hAnsi="Arial"/>
                <w:sz w:val="22"/>
              </w:rPr>
              <w:t>LEP</w:t>
            </w:r>
            <w:r w:rsidR="00EF4A41">
              <w:rPr>
                <w:rFonts w:ascii="Arial" w:hAnsi="Arial"/>
                <w:sz w:val="22"/>
              </w:rPr>
              <w:t>)</w:t>
            </w:r>
            <w:r>
              <w:rPr>
                <w:rFonts w:ascii="Arial" w:hAnsi="Arial"/>
                <w:sz w:val="22"/>
              </w:rPr>
              <w:t>. Plusieurs participants ont souligné que ce programme était attendu depuis longtemps. La finalisation du programme de rétablissement et une plus grande clarté quant à la définition et à l’emplacement de l’habitat essentiel du pin à écorce blanche éclaireraient les intervenants de l’industrie, les décideurs et le public.</w:t>
            </w:r>
          </w:p>
        </w:tc>
        <w:tc>
          <w:tcPr>
            <w:tcW w:w="2532" w:type="pct"/>
            <w:tcMar>
              <w:top w:w="0" w:type="dxa"/>
              <w:left w:w="108" w:type="dxa"/>
              <w:bottom w:w="0" w:type="dxa"/>
              <w:right w:w="108" w:type="dxa"/>
            </w:tcMar>
          </w:tcPr>
          <w:p w14:paraId="7A259070" w14:textId="72F690A4" w:rsidR="00B56E22" w:rsidRDefault="00872376" w:rsidP="005E79E3">
            <w:pPr>
              <w:contextualSpacing/>
              <w:rPr>
                <w:rFonts w:ascii="Arial" w:hAnsi="Arial"/>
                <w:sz w:val="22"/>
              </w:rPr>
            </w:pPr>
            <w:r>
              <w:rPr>
                <w:rFonts w:ascii="Arial" w:hAnsi="Arial"/>
                <w:sz w:val="22"/>
              </w:rPr>
              <w:t xml:space="preserve">Le gouvernement du Canada </w:t>
            </w:r>
            <w:r w:rsidR="00D30F8A">
              <w:rPr>
                <w:rFonts w:ascii="Arial" w:hAnsi="Arial"/>
                <w:sz w:val="22"/>
              </w:rPr>
              <w:t>adhère à</w:t>
            </w:r>
            <w:r>
              <w:rPr>
                <w:rFonts w:ascii="Arial" w:hAnsi="Arial"/>
                <w:sz w:val="22"/>
              </w:rPr>
              <w:t xml:space="preserve"> l’intention de cette recommandation.</w:t>
            </w:r>
          </w:p>
          <w:p w14:paraId="7817DF95" w14:textId="77777777" w:rsidR="00EF4A41" w:rsidRDefault="00EF4A41" w:rsidP="005E79E3">
            <w:pPr>
              <w:contextualSpacing/>
              <w:rPr>
                <w:rFonts w:ascii="Arial" w:hAnsi="Arial"/>
                <w:sz w:val="22"/>
              </w:rPr>
            </w:pPr>
          </w:p>
          <w:p w14:paraId="79891083" w14:textId="4A632441" w:rsidR="00872376" w:rsidRDefault="00872376" w:rsidP="005E79E3">
            <w:pPr>
              <w:contextualSpacing/>
              <w:rPr>
                <w:rFonts w:ascii="Arial" w:hAnsi="Arial" w:cs="Arial"/>
                <w:bCs/>
                <w:sz w:val="22"/>
                <w:szCs w:val="22"/>
              </w:rPr>
            </w:pPr>
            <w:r>
              <w:rPr>
                <w:rFonts w:ascii="Arial" w:hAnsi="Arial"/>
                <w:sz w:val="22"/>
              </w:rPr>
              <w:t xml:space="preserve">ECCC convient avec la </w:t>
            </w:r>
            <w:r w:rsidR="00F25D02">
              <w:rPr>
                <w:rFonts w:ascii="Arial" w:hAnsi="Arial"/>
                <w:sz w:val="22"/>
              </w:rPr>
              <w:t xml:space="preserve">commission </w:t>
            </w:r>
            <w:r>
              <w:rPr>
                <w:rFonts w:ascii="Arial" w:hAnsi="Arial"/>
                <w:sz w:val="22"/>
              </w:rPr>
              <w:t>que le programme de rétablissement du pin à écorce blanche (Pinus albicaulis) devrait être finalisé le plus rapidement possible. ECCC continue de préparer le programme conformément à l’article</w:t>
            </w:r>
            <w:r w:rsidR="00B3657D">
              <w:rPr>
                <w:rFonts w:ascii="Arial" w:hAnsi="Arial"/>
                <w:sz w:val="22"/>
              </w:rPr>
              <w:t> </w:t>
            </w:r>
            <w:r>
              <w:rPr>
                <w:rFonts w:ascii="Arial" w:hAnsi="Arial"/>
                <w:sz w:val="22"/>
              </w:rPr>
              <w:t xml:space="preserve">37 de la </w:t>
            </w:r>
            <w:r>
              <w:rPr>
                <w:rFonts w:ascii="Arial" w:hAnsi="Arial"/>
                <w:i/>
                <w:iCs/>
                <w:sz w:val="22"/>
              </w:rPr>
              <w:t xml:space="preserve">Loi sur les espèces en péril </w:t>
            </w:r>
            <w:r>
              <w:rPr>
                <w:rFonts w:ascii="Arial" w:hAnsi="Arial"/>
                <w:sz w:val="22"/>
              </w:rPr>
              <w:t xml:space="preserve">(LEP) et reconnaît l’importance de finaliser le programme de rétablissement pour soutenir la protection de l’espèce et les efforts de mise en œuvre continus. En raison de retards opérationnels et de contraintes de capacité, plus particulièrement en raison de la COVID-19, la finalisation du programme de rétablissement a été </w:t>
            </w:r>
            <w:r w:rsidR="00F25D02">
              <w:rPr>
                <w:rFonts w:ascii="Arial" w:hAnsi="Arial"/>
                <w:sz w:val="22"/>
              </w:rPr>
              <w:t>retardée</w:t>
            </w:r>
            <w:r>
              <w:rPr>
                <w:rFonts w:ascii="Arial" w:hAnsi="Arial"/>
                <w:sz w:val="22"/>
              </w:rPr>
              <w:t>.</w:t>
            </w:r>
          </w:p>
          <w:p w14:paraId="66B9BDC5" w14:textId="77777777" w:rsidR="00B20937" w:rsidRPr="00B56E22" w:rsidRDefault="00B20937" w:rsidP="005E79E3">
            <w:pPr>
              <w:contextualSpacing/>
              <w:rPr>
                <w:rFonts w:ascii="Arial" w:hAnsi="Arial" w:cs="Arial"/>
                <w:bCs/>
                <w:sz w:val="22"/>
                <w:szCs w:val="22"/>
              </w:rPr>
            </w:pPr>
          </w:p>
          <w:p w14:paraId="1A4B5C24" w14:textId="5872AE4C" w:rsidR="00872376" w:rsidRPr="00E33E62" w:rsidRDefault="00872376" w:rsidP="00B56E22">
            <w:pPr>
              <w:contextualSpacing/>
              <w:rPr>
                <w:rFonts w:ascii="Arial" w:hAnsi="Arial" w:cs="Arial"/>
                <w:bCs/>
                <w:sz w:val="22"/>
                <w:szCs w:val="22"/>
              </w:rPr>
            </w:pPr>
            <w:r>
              <w:rPr>
                <w:rFonts w:ascii="Arial" w:hAnsi="Arial"/>
                <w:sz w:val="22"/>
              </w:rPr>
              <w:t xml:space="preserve">En collaboration avec les partenaires fédéraux et des partenaires d’autres instances, ECCC analyse et traite le grand nombre de commentaires reçus pendant la période de consultation publique. Cet exercice vise à </w:t>
            </w:r>
            <w:r w:rsidR="00404F4A">
              <w:rPr>
                <w:rFonts w:ascii="Arial" w:hAnsi="Arial"/>
                <w:sz w:val="22"/>
              </w:rPr>
              <w:t>rendre plus clairs</w:t>
            </w:r>
            <w:r>
              <w:rPr>
                <w:rFonts w:ascii="Arial" w:hAnsi="Arial"/>
                <w:sz w:val="22"/>
              </w:rPr>
              <w:t xml:space="preserve">, autant que possible, certains </w:t>
            </w:r>
            <w:r w:rsidR="00404F4A">
              <w:rPr>
                <w:rFonts w:ascii="Arial" w:hAnsi="Arial"/>
                <w:sz w:val="22"/>
              </w:rPr>
              <w:t xml:space="preserve">éléments tels que </w:t>
            </w:r>
            <w:r>
              <w:rPr>
                <w:rFonts w:ascii="Arial" w:hAnsi="Arial"/>
                <w:sz w:val="22"/>
              </w:rPr>
              <w:t xml:space="preserve">la définition et de l’emplacement de l’habitat essentiel pour les intervenants de l’industrie, les décideurs et le public. ECCC prévoit que le document final sera publié au cours de la prochaine année; le </w:t>
            </w:r>
            <w:r w:rsidR="00EF4A41" w:rsidRPr="00EF4A41">
              <w:rPr>
                <w:rFonts w:ascii="Arial" w:hAnsi="Arial"/>
                <w:sz w:val="22"/>
              </w:rPr>
              <w:t>Ministre de l'Environnement et du Changement climatique</w:t>
            </w:r>
            <w:r w:rsidR="00EF4A41" w:rsidRPr="00EF4A41" w:rsidDel="00EF4A41">
              <w:rPr>
                <w:rFonts w:ascii="Arial" w:hAnsi="Arial"/>
                <w:sz w:val="22"/>
              </w:rPr>
              <w:t xml:space="preserve"> </w:t>
            </w:r>
            <w:r>
              <w:rPr>
                <w:rFonts w:ascii="Arial" w:hAnsi="Arial"/>
                <w:sz w:val="22"/>
              </w:rPr>
              <w:t xml:space="preserve"> pourra ensuite modifier le programme de rétablissement en fonction d</w:t>
            </w:r>
            <w:r w:rsidR="000D467F">
              <w:rPr>
                <w:rFonts w:ascii="Arial" w:hAnsi="Arial"/>
                <w:sz w:val="22"/>
              </w:rPr>
              <w:t>u</w:t>
            </w:r>
            <w:r>
              <w:rPr>
                <w:rFonts w:ascii="Arial" w:hAnsi="Arial"/>
                <w:sz w:val="22"/>
              </w:rPr>
              <w:t xml:space="preserve"> </w:t>
            </w:r>
            <w:r w:rsidR="00404F4A">
              <w:rPr>
                <w:rFonts w:ascii="Arial" w:hAnsi="Arial"/>
                <w:sz w:val="22"/>
              </w:rPr>
              <w:t xml:space="preserve">progrès des </w:t>
            </w:r>
            <w:r>
              <w:rPr>
                <w:rFonts w:ascii="Arial" w:hAnsi="Arial"/>
                <w:sz w:val="22"/>
              </w:rPr>
              <w:t>connaissances.</w:t>
            </w:r>
          </w:p>
          <w:p w14:paraId="751DC856" w14:textId="4706DBB6" w:rsidR="00005D9E" w:rsidRPr="00B56E22" w:rsidRDefault="00005D9E" w:rsidP="00B56E22">
            <w:pPr>
              <w:rPr>
                <w:rFonts w:ascii="Arial" w:hAnsi="Arial" w:cs="Arial"/>
                <w:sz w:val="22"/>
                <w:szCs w:val="22"/>
              </w:rPr>
            </w:pPr>
          </w:p>
        </w:tc>
      </w:tr>
      <w:tr w:rsidR="00005D9E" w:rsidRPr="0072596A" w14:paraId="0AAA74E5" w14:textId="77777777" w:rsidTr="00E33E62">
        <w:tc>
          <w:tcPr>
            <w:tcW w:w="296" w:type="pct"/>
          </w:tcPr>
          <w:p w14:paraId="7435E6AD" w14:textId="270857FE" w:rsidR="00005D9E" w:rsidRPr="0072596A" w:rsidRDefault="00141DF4" w:rsidP="00B56E22">
            <w:pPr>
              <w:rPr>
                <w:rFonts w:ascii="Arial" w:hAnsi="Arial" w:cs="Arial"/>
                <w:b/>
                <w:sz w:val="22"/>
                <w:szCs w:val="22"/>
              </w:rPr>
            </w:pPr>
            <w:r>
              <w:rPr>
                <w:rFonts w:ascii="Arial" w:hAnsi="Arial"/>
                <w:b/>
                <w:sz w:val="22"/>
              </w:rPr>
              <w:t>5</w:t>
            </w:r>
          </w:p>
        </w:tc>
        <w:tc>
          <w:tcPr>
            <w:tcW w:w="2171" w:type="pct"/>
            <w:tcMar>
              <w:top w:w="0" w:type="dxa"/>
              <w:left w:w="108" w:type="dxa"/>
              <w:bottom w:w="0" w:type="dxa"/>
              <w:right w:w="108" w:type="dxa"/>
            </w:tcMar>
          </w:tcPr>
          <w:p w14:paraId="52DF6BB0" w14:textId="5AF0F677" w:rsidR="00005D9E" w:rsidRPr="0072596A" w:rsidRDefault="009F6C4A" w:rsidP="00404F4A">
            <w:pPr>
              <w:rPr>
                <w:rFonts w:ascii="Arial" w:hAnsi="Arial" w:cs="Arial"/>
                <w:sz w:val="22"/>
                <w:szCs w:val="22"/>
              </w:rPr>
            </w:pPr>
            <w:r>
              <w:rPr>
                <w:rFonts w:ascii="Arial" w:hAnsi="Arial"/>
                <w:sz w:val="22"/>
              </w:rPr>
              <w:t xml:space="preserve">La commission recommande que l’Agence d’évaluation d’impact du Canada prépare une orientation sur la réglementation </w:t>
            </w:r>
            <w:r w:rsidR="00404F4A">
              <w:rPr>
                <w:rFonts w:ascii="Arial" w:hAnsi="Arial"/>
                <w:sz w:val="22"/>
              </w:rPr>
              <w:t>permettant aux</w:t>
            </w:r>
            <w:r>
              <w:rPr>
                <w:rFonts w:ascii="Arial" w:hAnsi="Arial"/>
                <w:sz w:val="22"/>
              </w:rPr>
              <w:t xml:space="preserve"> promoteurs qui effectuent des évaluations des risques pour la santé faunique </w:t>
            </w:r>
            <w:r w:rsidR="00404F4A">
              <w:rPr>
                <w:rFonts w:ascii="Arial" w:hAnsi="Arial"/>
                <w:sz w:val="22"/>
              </w:rPr>
              <w:t>de disposer de</w:t>
            </w:r>
            <w:r>
              <w:rPr>
                <w:rFonts w:ascii="Arial" w:hAnsi="Arial"/>
                <w:sz w:val="22"/>
              </w:rPr>
              <w:t xml:space="preserve"> directives </w:t>
            </w:r>
            <w:r w:rsidR="00404F4A">
              <w:rPr>
                <w:rFonts w:ascii="Arial" w:hAnsi="Arial"/>
                <w:sz w:val="22"/>
              </w:rPr>
              <w:t>sur la façon d’aborder l</w:t>
            </w:r>
            <w:r>
              <w:rPr>
                <w:rFonts w:ascii="Arial" w:hAnsi="Arial"/>
                <w:sz w:val="22"/>
              </w:rPr>
              <w:t>es effets cumulatifs attribuables à plusieurs stresseurs.</w:t>
            </w:r>
            <w:r w:rsidR="00B56E22">
              <w:rPr>
                <w:rFonts w:ascii="Arial" w:hAnsi="Arial"/>
                <w:sz w:val="22"/>
              </w:rPr>
              <w:t xml:space="preserve"> </w:t>
            </w:r>
            <w:r>
              <w:rPr>
                <w:rFonts w:ascii="Arial" w:hAnsi="Arial"/>
                <w:sz w:val="22"/>
              </w:rPr>
              <w:t>La commission recommande également que l</w:t>
            </w:r>
            <w:r w:rsidR="000B4D1F">
              <w:rPr>
                <w:rFonts w:ascii="Arial" w:hAnsi="Arial"/>
                <w:sz w:val="22"/>
              </w:rPr>
              <w:t>’</w:t>
            </w:r>
            <w:r>
              <w:rPr>
                <w:rFonts w:ascii="Arial" w:hAnsi="Arial"/>
                <w:sz w:val="22"/>
              </w:rPr>
              <w:t>analyse soit exigée dans les lignes directrices individualisées relatives à l’étude d’impact pour les futures évaluations d’impact. Le promoteur a fourni des données probantes limitées sur les effets potentiels combinés des produits chimiques et de la perte ou la dégradation de l’habitat dans son évaluation des impacts du projet sur la santé faunique. Cette information améliorerait la qualité des données dont les décideurs disposeraient</w:t>
            </w:r>
          </w:p>
        </w:tc>
        <w:tc>
          <w:tcPr>
            <w:tcW w:w="2532" w:type="pct"/>
            <w:tcMar>
              <w:top w:w="0" w:type="dxa"/>
              <w:left w:w="108" w:type="dxa"/>
              <w:bottom w:w="0" w:type="dxa"/>
              <w:right w:w="108" w:type="dxa"/>
            </w:tcMar>
          </w:tcPr>
          <w:p w14:paraId="6DFEA6D1" w14:textId="20092DC1" w:rsidR="00644344" w:rsidRDefault="00644344" w:rsidP="00B56E22">
            <w:pPr>
              <w:spacing w:line="252" w:lineRule="auto"/>
              <w:rPr>
                <w:rFonts w:ascii="Arial" w:hAnsi="Arial" w:cs="Arial"/>
                <w:sz w:val="22"/>
                <w:szCs w:val="22"/>
              </w:rPr>
            </w:pPr>
            <w:r>
              <w:rPr>
                <w:rFonts w:ascii="Arial" w:hAnsi="Arial"/>
                <w:sz w:val="22"/>
              </w:rPr>
              <w:t xml:space="preserve">Le gouvernement du Canada </w:t>
            </w:r>
            <w:r w:rsidR="00404F4A">
              <w:rPr>
                <w:rFonts w:ascii="Arial" w:hAnsi="Arial"/>
                <w:sz w:val="22"/>
              </w:rPr>
              <w:t>adhère à</w:t>
            </w:r>
            <w:r>
              <w:rPr>
                <w:rFonts w:ascii="Arial" w:hAnsi="Arial"/>
                <w:sz w:val="22"/>
              </w:rPr>
              <w:t xml:space="preserve"> l’intention de cette recommandation.</w:t>
            </w:r>
          </w:p>
          <w:p w14:paraId="717B865F" w14:textId="77777777" w:rsidR="00644344" w:rsidRDefault="00644344" w:rsidP="00B56E22">
            <w:pPr>
              <w:spacing w:line="252" w:lineRule="auto"/>
              <w:rPr>
                <w:rFonts w:ascii="Arial" w:hAnsi="Arial" w:cs="Arial"/>
                <w:sz w:val="22"/>
                <w:szCs w:val="22"/>
              </w:rPr>
            </w:pPr>
          </w:p>
          <w:p w14:paraId="5DF35EB3" w14:textId="31798D95" w:rsidR="009F6C4A" w:rsidRPr="009F6C4A" w:rsidRDefault="00644344" w:rsidP="00B56E22">
            <w:pPr>
              <w:spacing w:line="252" w:lineRule="auto"/>
              <w:rPr>
                <w:rFonts w:ascii="Arial" w:hAnsi="Arial" w:cs="Arial"/>
                <w:sz w:val="22"/>
                <w:szCs w:val="22"/>
              </w:rPr>
            </w:pPr>
            <w:r>
              <w:rPr>
                <w:rFonts w:ascii="Arial" w:hAnsi="Arial"/>
                <w:sz w:val="22"/>
              </w:rPr>
              <w:t>La LEI exige que l’évaluation d’impact tienne compte «</w:t>
            </w:r>
            <w:r w:rsidR="00B3657D">
              <w:rPr>
                <w:rFonts w:ascii="Arial" w:hAnsi="Arial"/>
                <w:sz w:val="22"/>
              </w:rPr>
              <w:t> </w:t>
            </w:r>
            <w:r>
              <w:rPr>
                <w:rFonts w:ascii="Arial" w:hAnsi="Arial"/>
                <w:sz w:val="22"/>
              </w:rPr>
              <w:t>des changements à l’environnement</w:t>
            </w:r>
            <w:r w:rsidR="00C27623">
              <w:rPr>
                <w:rFonts w:ascii="Arial" w:hAnsi="Arial"/>
                <w:sz w:val="22"/>
              </w:rPr>
              <w:t xml:space="preserve"> (</w:t>
            </w:r>
            <w:r w:rsidR="00B3657D">
              <w:rPr>
                <w:rFonts w:ascii="Arial" w:hAnsi="Arial"/>
                <w:sz w:val="22"/>
              </w:rPr>
              <w:t>…</w:t>
            </w:r>
            <w:r w:rsidR="00C27623">
              <w:rPr>
                <w:rFonts w:ascii="Arial" w:hAnsi="Arial"/>
                <w:sz w:val="22"/>
              </w:rPr>
              <w:t>)</w:t>
            </w:r>
            <w:r>
              <w:rPr>
                <w:rFonts w:ascii="Arial" w:hAnsi="Arial"/>
                <w:sz w:val="22"/>
              </w:rPr>
              <w:t xml:space="preserve"> et les répercussions positives et négatives de tels changements que la réalisation du projet est susceptible d’entraîner, y compris </w:t>
            </w:r>
            <w:r w:rsidR="00C27623">
              <w:rPr>
                <w:rFonts w:ascii="Arial" w:hAnsi="Arial"/>
                <w:sz w:val="22"/>
              </w:rPr>
              <w:t xml:space="preserve">(…) </w:t>
            </w:r>
            <w:r>
              <w:rPr>
                <w:rFonts w:ascii="Arial" w:hAnsi="Arial"/>
                <w:sz w:val="22"/>
              </w:rPr>
              <w:t>le résultat de toute interaction entre ces effets</w:t>
            </w:r>
            <w:r w:rsidR="00B3657D">
              <w:rPr>
                <w:rFonts w:ascii="Arial" w:hAnsi="Arial"/>
                <w:sz w:val="22"/>
              </w:rPr>
              <w:t> </w:t>
            </w:r>
            <w:r>
              <w:rPr>
                <w:rFonts w:ascii="Arial" w:hAnsi="Arial"/>
                <w:sz w:val="22"/>
              </w:rPr>
              <w:t xml:space="preserve">». Pour mettre en œuvre cette disposition, les </w:t>
            </w:r>
            <w:r w:rsidR="00EF4A41">
              <w:rPr>
                <w:rFonts w:ascii="Arial" w:hAnsi="Arial"/>
                <w:sz w:val="22"/>
              </w:rPr>
              <w:t>LDIREI</w:t>
            </w:r>
            <w:r>
              <w:rPr>
                <w:rFonts w:ascii="Arial" w:hAnsi="Arial"/>
                <w:sz w:val="22"/>
              </w:rPr>
              <w:t xml:space="preserve"> élaborées pour chaque évaluation exigent des promoteurs qu’ils tiennent compte de l’interaction entre les effets sur les composantes valorisées fauniques.</w:t>
            </w:r>
            <w:r w:rsidR="00B56E22">
              <w:rPr>
                <w:rFonts w:ascii="Arial" w:hAnsi="Arial"/>
                <w:sz w:val="22"/>
              </w:rPr>
              <w:t xml:space="preserve"> </w:t>
            </w:r>
            <w:r>
              <w:rPr>
                <w:rFonts w:ascii="Arial" w:hAnsi="Arial"/>
                <w:sz w:val="22"/>
              </w:rPr>
              <w:t xml:space="preserve">Lors de l’élaboration des </w:t>
            </w:r>
            <w:r w:rsidR="00EF4A41">
              <w:rPr>
                <w:rFonts w:ascii="Arial" w:hAnsi="Arial"/>
                <w:sz w:val="22"/>
              </w:rPr>
              <w:t>LDIREI</w:t>
            </w:r>
            <w:r>
              <w:rPr>
                <w:rFonts w:ascii="Arial" w:hAnsi="Arial"/>
                <w:sz w:val="22"/>
              </w:rPr>
              <w:t xml:space="preserve"> de chaque évaluation, </w:t>
            </w:r>
            <w:r w:rsidR="00EF4A41">
              <w:rPr>
                <w:rFonts w:ascii="Arial" w:hAnsi="Arial"/>
                <w:sz w:val="22"/>
              </w:rPr>
              <w:t xml:space="preserve">l’AIEC </w:t>
            </w:r>
            <w:r>
              <w:rPr>
                <w:rFonts w:ascii="Arial" w:hAnsi="Arial"/>
                <w:sz w:val="22"/>
              </w:rPr>
              <w:t>tiendra compte de la pertinence de demander au promoteur de réaliser une évaluation des risques pour la santé faunique,</w:t>
            </w:r>
            <w:r w:rsidR="00B56E22">
              <w:rPr>
                <w:rFonts w:ascii="Arial" w:hAnsi="Arial"/>
                <w:sz w:val="22"/>
              </w:rPr>
              <w:t xml:space="preserve"> </w:t>
            </w:r>
            <w:r>
              <w:rPr>
                <w:rFonts w:ascii="Arial" w:hAnsi="Arial"/>
                <w:sz w:val="22"/>
              </w:rPr>
              <w:t>Le gouvernement du Canada reconnaît que la compréhension et la gestion des effets cumulatifs sont difficiles, plus particulièrement dans le contexte d’un projet en particulier.</w:t>
            </w:r>
            <w:r w:rsidR="00B56E22">
              <w:rPr>
                <w:rFonts w:ascii="Arial" w:hAnsi="Arial"/>
                <w:sz w:val="22"/>
              </w:rPr>
              <w:t xml:space="preserve"> </w:t>
            </w:r>
            <w:r>
              <w:rPr>
                <w:rFonts w:ascii="Arial" w:hAnsi="Arial"/>
                <w:sz w:val="22"/>
              </w:rPr>
              <w:t>Selon l</w:t>
            </w:r>
            <w:r w:rsidR="000B4D1F">
              <w:rPr>
                <w:rFonts w:ascii="Arial" w:hAnsi="Arial"/>
                <w:sz w:val="22"/>
              </w:rPr>
              <w:t>’</w:t>
            </w:r>
            <w:r>
              <w:rPr>
                <w:rFonts w:ascii="Arial" w:hAnsi="Arial"/>
                <w:sz w:val="22"/>
              </w:rPr>
              <w:t xml:space="preserve">évolution des méthodes de détermination des effets cumulatifs, elles seront </w:t>
            </w:r>
            <w:r w:rsidR="00C27623">
              <w:rPr>
                <w:rFonts w:ascii="Arial" w:hAnsi="Arial"/>
                <w:sz w:val="22"/>
              </w:rPr>
              <w:t xml:space="preserve">intégrées </w:t>
            </w:r>
            <w:r>
              <w:rPr>
                <w:rFonts w:ascii="Arial" w:hAnsi="Arial"/>
                <w:sz w:val="22"/>
              </w:rPr>
              <w:t xml:space="preserve">aux </w:t>
            </w:r>
            <w:r w:rsidR="00EF4A41">
              <w:rPr>
                <w:rFonts w:ascii="Arial" w:hAnsi="Arial"/>
                <w:sz w:val="22"/>
              </w:rPr>
              <w:t>LDIREI</w:t>
            </w:r>
            <w:r>
              <w:rPr>
                <w:rFonts w:ascii="Arial" w:hAnsi="Arial"/>
                <w:sz w:val="22"/>
              </w:rPr>
              <w:t>.</w:t>
            </w:r>
          </w:p>
          <w:p w14:paraId="135A4F8C" w14:textId="15D1089B" w:rsidR="00005D9E" w:rsidRPr="0072596A" w:rsidRDefault="00005D9E" w:rsidP="00B56E22">
            <w:pPr>
              <w:spacing w:line="252" w:lineRule="auto"/>
              <w:rPr>
                <w:rFonts w:ascii="Arial" w:hAnsi="Arial" w:cs="Arial"/>
                <w:sz w:val="22"/>
                <w:szCs w:val="22"/>
              </w:rPr>
            </w:pPr>
          </w:p>
        </w:tc>
      </w:tr>
      <w:tr w:rsidR="00005D9E" w:rsidRPr="0072596A" w14:paraId="2B497034" w14:textId="77777777" w:rsidTr="00E33E62">
        <w:trPr>
          <w:trHeight w:val="931"/>
        </w:trPr>
        <w:tc>
          <w:tcPr>
            <w:tcW w:w="296" w:type="pct"/>
          </w:tcPr>
          <w:p w14:paraId="48533029" w14:textId="3E5F52F2" w:rsidR="00005D9E" w:rsidRPr="0072596A" w:rsidRDefault="00141DF4" w:rsidP="00B56E22">
            <w:pPr>
              <w:rPr>
                <w:rFonts w:ascii="Arial" w:hAnsi="Arial" w:cs="Arial"/>
                <w:b/>
                <w:sz w:val="22"/>
                <w:szCs w:val="22"/>
              </w:rPr>
            </w:pPr>
            <w:r>
              <w:rPr>
                <w:rFonts w:ascii="Arial" w:hAnsi="Arial"/>
                <w:b/>
                <w:sz w:val="22"/>
              </w:rPr>
              <w:t>6</w:t>
            </w:r>
          </w:p>
        </w:tc>
        <w:tc>
          <w:tcPr>
            <w:tcW w:w="2171" w:type="pct"/>
            <w:tcMar>
              <w:top w:w="0" w:type="dxa"/>
              <w:left w:w="108" w:type="dxa"/>
              <w:bottom w:w="0" w:type="dxa"/>
              <w:right w:w="108" w:type="dxa"/>
            </w:tcMar>
          </w:tcPr>
          <w:p w14:paraId="10C7BCAC" w14:textId="1DE602DD" w:rsidR="0072596A" w:rsidRPr="0072596A" w:rsidRDefault="0072596A" w:rsidP="00B56E22">
            <w:pPr>
              <w:rPr>
                <w:rFonts w:ascii="Arial" w:hAnsi="Arial" w:cs="Arial"/>
                <w:b/>
                <w:bCs/>
                <w:sz w:val="22"/>
                <w:szCs w:val="22"/>
              </w:rPr>
            </w:pPr>
            <w:r>
              <w:rPr>
                <w:rFonts w:ascii="Arial" w:hAnsi="Arial"/>
                <w:sz w:val="22"/>
              </w:rPr>
              <w:t xml:space="preserve">La commission recommande que les gouvernements fédéral et provinciaux clarifient les exigences d’analyse économique des futures EIE provinciales ou des évaluations d’impact fédérales. Les promoteurs devraient être tenus, par des modalités établies, de fournir une analyse d’impact économique et une analyse coûts-avantages qui permettent aux décideurs de prendre des décisions éclairées, fondées sur les deux types d’information économique. La commission suggère également que les gouvernements élaborent des lignes directrices sur les méthodologies et les hypothèses que les promoteurs devraient adopter pour produire ces futures analyses. Les gouvernements pourraient souhaiter revoir le </w:t>
            </w:r>
            <w:r>
              <w:rPr>
                <w:rFonts w:ascii="Arial" w:hAnsi="Arial"/>
                <w:i/>
                <w:sz w:val="22"/>
              </w:rPr>
              <w:t xml:space="preserve">Guide d’analyse coûts-avantages pour le Canada </w:t>
            </w:r>
            <w:r>
              <w:rPr>
                <w:rFonts w:ascii="Arial" w:hAnsi="Arial"/>
                <w:sz w:val="22"/>
              </w:rPr>
              <w:t>produit par le Conseil du Trésor du Canada.</w:t>
            </w:r>
          </w:p>
          <w:p w14:paraId="599DCAD5" w14:textId="77777777" w:rsidR="0072596A" w:rsidRPr="0072596A" w:rsidRDefault="0072596A" w:rsidP="00B56E22">
            <w:pPr>
              <w:rPr>
                <w:rFonts w:ascii="Arial" w:hAnsi="Arial" w:cs="Arial"/>
                <w:sz w:val="22"/>
                <w:szCs w:val="22"/>
              </w:rPr>
            </w:pPr>
          </w:p>
          <w:p w14:paraId="157B2323" w14:textId="433848D1" w:rsidR="0072596A" w:rsidRPr="0072596A" w:rsidRDefault="0072596A" w:rsidP="00B56E22">
            <w:pPr>
              <w:rPr>
                <w:rFonts w:ascii="Arial" w:hAnsi="Arial" w:cs="Arial"/>
                <w:sz w:val="22"/>
                <w:szCs w:val="22"/>
              </w:rPr>
            </w:pPr>
            <w:r>
              <w:rPr>
                <w:rFonts w:ascii="Arial" w:hAnsi="Arial"/>
                <w:sz w:val="22"/>
              </w:rPr>
              <w:t>Différents économistes ont exprimé des points de vue variés sur le type d</w:t>
            </w:r>
            <w:r w:rsidR="000B4D1F">
              <w:rPr>
                <w:rFonts w:ascii="Arial" w:hAnsi="Arial"/>
                <w:sz w:val="22"/>
              </w:rPr>
              <w:t>’</w:t>
            </w:r>
            <w:r>
              <w:rPr>
                <w:rFonts w:ascii="Arial" w:hAnsi="Arial"/>
                <w:sz w:val="22"/>
              </w:rPr>
              <w:t>analyse économique à mener dans le cadre d’un examen. La commission convient que différents types d</w:t>
            </w:r>
            <w:r w:rsidR="000B4D1F">
              <w:rPr>
                <w:rFonts w:ascii="Arial" w:hAnsi="Arial"/>
                <w:sz w:val="22"/>
              </w:rPr>
              <w:t>’</w:t>
            </w:r>
            <w:r>
              <w:rPr>
                <w:rFonts w:ascii="Arial" w:hAnsi="Arial"/>
                <w:sz w:val="22"/>
              </w:rPr>
              <w:t>analyses économiques donnent différents types d’information. La commission croit que les décideurs se penchant sur les futures évaluations d’impact bénéficieraient d’un accès à ces différents types d’information.</w:t>
            </w:r>
          </w:p>
          <w:p w14:paraId="3A6B6CDC" w14:textId="6C4899BD" w:rsidR="00005D9E" w:rsidRPr="0072596A" w:rsidRDefault="00005D9E" w:rsidP="00B56E22">
            <w:pPr>
              <w:rPr>
                <w:rFonts w:ascii="Arial" w:hAnsi="Arial" w:cs="Arial"/>
                <w:b/>
                <w:sz w:val="22"/>
                <w:szCs w:val="22"/>
              </w:rPr>
            </w:pPr>
          </w:p>
        </w:tc>
        <w:tc>
          <w:tcPr>
            <w:tcW w:w="2532" w:type="pct"/>
            <w:tcMar>
              <w:top w:w="0" w:type="dxa"/>
              <w:left w:w="108" w:type="dxa"/>
              <w:bottom w:w="0" w:type="dxa"/>
              <w:right w:w="108" w:type="dxa"/>
            </w:tcMar>
          </w:tcPr>
          <w:p w14:paraId="09FF1324" w14:textId="7DBF1736" w:rsidR="0072596A" w:rsidRPr="0072596A" w:rsidRDefault="0072596A" w:rsidP="00B56E22">
            <w:pPr>
              <w:rPr>
                <w:rFonts w:ascii="Arial" w:hAnsi="Arial" w:cs="Arial"/>
                <w:sz w:val="22"/>
                <w:szCs w:val="22"/>
              </w:rPr>
            </w:pPr>
            <w:r>
              <w:rPr>
                <w:rFonts w:ascii="Arial" w:hAnsi="Arial"/>
                <w:sz w:val="22"/>
              </w:rPr>
              <w:t xml:space="preserve">Le gouvernement du Canada </w:t>
            </w:r>
            <w:r w:rsidR="00CE04DC">
              <w:rPr>
                <w:rFonts w:ascii="Arial" w:hAnsi="Arial"/>
                <w:sz w:val="22"/>
              </w:rPr>
              <w:t>adhère à</w:t>
            </w:r>
            <w:r>
              <w:rPr>
                <w:rFonts w:ascii="Arial" w:hAnsi="Arial"/>
                <w:sz w:val="22"/>
              </w:rPr>
              <w:t xml:space="preserve"> l’intention de cette recommandation et reste </w:t>
            </w:r>
            <w:r w:rsidR="00CE04DC">
              <w:rPr>
                <w:rFonts w:ascii="Arial" w:hAnsi="Arial"/>
                <w:sz w:val="22"/>
              </w:rPr>
              <w:t xml:space="preserve">déterminé </w:t>
            </w:r>
            <w:r>
              <w:rPr>
                <w:rFonts w:ascii="Arial" w:hAnsi="Arial"/>
                <w:sz w:val="22"/>
              </w:rPr>
              <w:t>à fournir au</w:t>
            </w:r>
            <w:r w:rsidR="00EE6706">
              <w:rPr>
                <w:rFonts w:ascii="Arial" w:hAnsi="Arial"/>
                <w:sz w:val="22"/>
              </w:rPr>
              <w:t>x</w:t>
            </w:r>
            <w:r>
              <w:rPr>
                <w:rFonts w:ascii="Arial" w:hAnsi="Arial"/>
                <w:sz w:val="22"/>
              </w:rPr>
              <w:t xml:space="preserve"> promoteur</w:t>
            </w:r>
            <w:r w:rsidR="00EE6706">
              <w:rPr>
                <w:rFonts w:ascii="Arial" w:hAnsi="Arial"/>
                <w:sz w:val="22"/>
              </w:rPr>
              <w:t>s</w:t>
            </w:r>
            <w:r>
              <w:rPr>
                <w:rFonts w:ascii="Arial" w:hAnsi="Arial"/>
                <w:sz w:val="22"/>
              </w:rPr>
              <w:t xml:space="preserve"> des exigences claires d’information, d</w:t>
            </w:r>
            <w:r w:rsidR="000B4D1F">
              <w:rPr>
                <w:rFonts w:ascii="Arial" w:hAnsi="Arial"/>
                <w:sz w:val="22"/>
              </w:rPr>
              <w:t>’</w:t>
            </w:r>
            <w:r>
              <w:rPr>
                <w:rFonts w:ascii="Arial" w:hAnsi="Arial"/>
                <w:sz w:val="22"/>
              </w:rPr>
              <w:t>études et d’analyses économiques</w:t>
            </w:r>
            <w:r w:rsidR="002C1F8B">
              <w:t xml:space="preserve"> </w:t>
            </w:r>
            <w:r w:rsidR="002C1F8B" w:rsidRPr="002C1F8B">
              <w:rPr>
                <w:rFonts w:ascii="Arial" w:hAnsi="Arial"/>
                <w:sz w:val="22"/>
              </w:rPr>
              <w:t>à inclure dans l'étude d'impact du promoteur.</w:t>
            </w:r>
          </w:p>
          <w:p w14:paraId="198E0E51" w14:textId="77777777" w:rsidR="0072596A" w:rsidRPr="0072596A" w:rsidRDefault="0072596A" w:rsidP="00B56E22">
            <w:pPr>
              <w:rPr>
                <w:rFonts w:ascii="Arial" w:hAnsi="Arial" w:cs="Arial"/>
                <w:sz w:val="22"/>
                <w:szCs w:val="22"/>
              </w:rPr>
            </w:pPr>
          </w:p>
          <w:p w14:paraId="70095C68" w14:textId="391CD0D1" w:rsidR="00B56E22" w:rsidRDefault="0072596A" w:rsidP="00B56E22">
            <w:pPr>
              <w:rPr>
                <w:rFonts w:ascii="Arial" w:hAnsi="Arial"/>
                <w:sz w:val="22"/>
              </w:rPr>
            </w:pPr>
            <w:r>
              <w:rPr>
                <w:rFonts w:ascii="Arial" w:hAnsi="Arial"/>
                <w:sz w:val="22"/>
              </w:rPr>
              <w:t xml:space="preserve">L’élaboration des lignes directrices individualisées relatives à l’étude d’impact reste un élément </w:t>
            </w:r>
            <w:r w:rsidR="00CE04DC">
              <w:rPr>
                <w:rFonts w:ascii="Arial" w:hAnsi="Arial"/>
                <w:sz w:val="22"/>
              </w:rPr>
              <w:t xml:space="preserve">essentiel </w:t>
            </w:r>
            <w:r>
              <w:rPr>
                <w:rFonts w:ascii="Arial" w:hAnsi="Arial"/>
                <w:sz w:val="22"/>
              </w:rPr>
              <w:t xml:space="preserve">du régime d’évaluation d’impact. Les </w:t>
            </w:r>
            <w:r w:rsidR="002C1F8B">
              <w:rPr>
                <w:rFonts w:ascii="Arial" w:hAnsi="Arial"/>
                <w:sz w:val="22"/>
              </w:rPr>
              <w:t>LDIREI</w:t>
            </w:r>
            <w:r>
              <w:rPr>
                <w:rFonts w:ascii="Arial" w:hAnsi="Arial"/>
                <w:sz w:val="22"/>
              </w:rPr>
              <w:t xml:space="preserve"> fournissent au promoteur une orientation sur les </w:t>
            </w:r>
            <w:r w:rsidR="00CE04DC">
              <w:rPr>
                <w:rFonts w:ascii="Arial" w:hAnsi="Arial"/>
                <w:sz w:val="22"/>
              </w:rPr>
              <w:t xml:space="preserve">éléments </w:t>
            </w:r>
            <w:r>
              <w:rPr>
                <w:rFonts w:ascii="Arial" w:hAnsi="Arial"/>
                <w:sz w:val="22"/>
              </w:rPr>
              <w:t>à prendre en compte dans l’évaluation des impacts, y compris les avantages et les risques économiques du projet.</w:t>
            </w:r>
            <w:r w:rsidR="00B56E22">
              <w:rPr>
                <w:rFonts w:ascii="Arial" w:hAnsi="Arial"/>
                <w:sz w:val="22"/>
              </w:rPr>
              <w:t xml:space="preserve"> </w:t>
            </w:r>
            <w:r w:rsidR="002C1F8B">
              <w:rPr>
                <w:rFonts w:ascii="Arial" w:hAnsi="Arial"/>
                <w:sz w:val="22"/>
              </w:rPr>
              <w:t>L’A</w:t>
            </w:r>
            <w:r w:rsidR="0073489C">
              <w:rPr>
                <w:rFonts w:ascii="Arial" w:hAnsi="Arial"/>
                <w:sz w:val="22"/>
              </w:rPr>
              <w:t>gence</w:t>
            </w:r>
            <w:r w:rsidR="002C1F8B">
              <w:rPr>
                <w:rFonts w:ascii="Arial" w:hAnsi="Arial"/>
                <w:sz w:val="22"/>
              </w:rPr>
              <w:t xml:space="preserve"> </w:t>
            </w:r>
            <w:r>
              <w:rPr>
                <w:rFonts w:ascii="Arial" w:hAnsi="Arial"/>
                <w:sz w:val="22"/>
              </w:rPr>
              <w:t>adapte ces lignes directrices selon chaque évaluation et donne une orientation au promoteur du projet quant aux méthodes à suivre et aux exigences d’information, y compris l’information économique, afin de guider la préparation de l</w:t>
            </w:r>
            <w:r w:rsidR="000B4D1F">
              <w:rPr>
                <w:rFonts w:ascii="Arial" w:hAnsi="Arial"/>
                <w:sz w:val="22"/>
              </w:rPr>
              <w:t>’</w:t>
            </w:r>
            <w:r>
              <w:rPr>
                <w:rFonts w:ascii="Arial" w:hAnsi="Arial"/>
                <w:sz w:val="22"/>
              </w:rPr>
              <w:t>étude d’impact</w:t>
            </w:r>
            <w:r w:rsidR="002C1F8B">
              <w:rPr>
                <w:rFonts w:ascii="Arial" w:hAnsi="Arial"/>
                <w:sz w:val="22"/>
              </w:rPr>
              <w:t xml:space="preserve"> du promoteur</w:t>
            </w:r>
            <w:r>
              <w:rPr>
                <w:rFonts w:ascii="Arial" w:hAnsi="Arial"/>
                <w:sz w:val="22"/>
              </w:rPr>
              <w:t>. L’adaptation des</w:t>
            </w:r>
            <w:r w:rsidR="002C1F8B">
              <w:rPr>
                <w:rFonts w:ascii="Arial" w:hAnsi="Arial"/>
                <w:sz w:val="22"/>
              </w:rPr>
              <w:t> LDIREI</w:t>
            </w:r>
            <w:r>
              <w:rPr>
                <w:rFonts w:ascii="Arial" w:hAnsi="Arial"/>
                <w:sz w:val="22"/>
              </w:rPr>
              <w:t xml:space="preserve"> y compris les exigences d</w:t>
            </w:r>
            <w:r w:rsidR="000B4D1F">
              <w:rPr>
                <w:rFonts w:ascii="Arial" w:hAnsi="Arial"/>
                <w:sz w:val="22"/>
              </w:rPr>
              <w:t>’</w:t>
            </w:r>
            <w:r>
              <w:rPr>
                <w:rFonts w:ascii="Arial" w:hAnsi="Arial"/>
                <w:sz w:val="22"/>
              </w:rPr>
              <w:t xml:space="preserve">analyse économique, se fonde sur la nature, la complexité et le contexte du projet; elle est éclairée et guidée par la consultation et la mobilisation du public, des groupes autochtones, des organismes de réglementation du cycle de vie, des instances concernées, des autorités fédérales et d’autres parties intéressées pendant la </w:t>
            </w:r>
            <w:r w:rsidR="00CE04DC">
              <w:rPr>
                <w:rFonts w:ascii="Arial" w:hAnsi="Arial"/>
                <w:sz w:val="22"/>
              </w:rPr>
              <w:t xml:space="preserve">planification </w:t>
            </w:r>
            <w:r>
              <w:rPr>
                <w:rFonts w:ascii="Arial" w:hAnsi="Arial"/>
                <w:sz w:val="22"/>
              </w:rPr>
              <w:t>en amont.</w:t>
            </w:r>
            <w:r w:rsidR="002C1F8B">
              <w:rPr>
                <w:rFonts w:ascii="Arial" w:hAnsi="Arial"/>
                <w:sz w:val="22"/>
              </w:rPr>
              <w:t xml:space="preserve"> </w:t>
            </w:r>
          </w:p>
          <w:p w14:paraId="091F85D5" w14:textId="0E2301D1" w:rsidR="0072596A" w:rsidRPr="0072596A" w:rsidRDefault="0072596A" w:rsidP="00B56E22">
            <w:pPr>
              <w:rPr>
                <w:rFonts w:ascii="Arial" w:hAnsi="Arial" w:cs="Arial"/>
                <w:sz w:val="22"/>
                <w:szCs w:val="22"/>
              </w:rPr>
            </w:pPr>
          </w:p>
          <w:p w14:paraId="4812470E" w14:textId="4FEA621E" w:rsidR="0072596A" w:rsidRPr="0072596A" w:rsidRDefault="0072596A" w:rsidP="00B56E22">
            <w:pPr>
              <w:rPr>
                <w:rFonts w:ascii="Arial" w:hAnsi="Arial" w:cs="Arial"/>
                <w:sz w:val="22"/>
                <w:szCs w:val="22"/>
              </w:rPr>
            </w:pPr>
            <w:r>
              <w:rPr>
                <w:rFonts w:ascii="Arial" w:hAnsi="Arial"/>
                <w:sz w:val="22"/>
              </w:rPr>
              <w:t xml:space="preserve">Ressources naturelles Canada </w:t>
            </w:r>
            <w:r w:rsidR="002C1F8B">
              <w:rPr>
                <w:rFonts w:ascii="Arial" w:hAnsi="Arial"/>
                <w:sz w:val="22"/>
              </w:rPr>
              <w:t xml:space="preserve">(RNCan) </w:t>
            </w:r>
            <w:r>
              <w:rPr>
                <w:rFonts w:ascii="Arial" w:hAnsi="Arial"/>
                <w:sz w:val="22"/>
              </w:rPr>
              <w:t xml:space="preserve">continuera de soutenir </w:t>
            </w:r>
            <w:r w:rsidR="002C1F8B">
              <w:rPr>
                <w:rFonts w:ascii="Arial" w:hAnsi="Arial"/>
                <w:sz w:val="22"/>
              </w:rPr>
              <w:t>l’</w:t>
            </w:r>
            <w:r w:rsidR="0073489C">
              <w:rPr>
                <w:rFonts w:ascii="Arial" w:hAnsi="Arial"/>
                <w:sz w:val="22"/>
              </w:rPr>
              <w:t>Agence</w:t>
            </w:r>
            <w:r w:rsidR="002C1F8B">
              <w:rPr>
                <w:rFonts w:ascii="Arial" w:hAnsi="Arial"/>
                <w:sz w:val="22"/>
              </w:rPr>
              <w:t xml:space="preserve"> </w:t>
            </w:r>
            <w:r>
              <w:rPr>
                <w:rFonts w:ascii="Arial" w:hAnsi="Arial"/>
                <w:sz w:val="22"/>
              </w:rPr>
              <w:t>pendant l</w:t>
            </w:r>
            <w:r w:rsidR="000B4D1F">
              <w:rPr>
                <w:rFonts w:ascii="Arial" w:hAnsi="Arial"/>
                <w:sz w:val="22"/>
              </w:rPr>
              <w:t>’</w:t>
            </w:r>
            <w:r>
              <w:rPr>
                <w:rFonts w:ascii="Arial" w:hAnsi="Arial"/>
                <w:sz w:val="22"/>
              </w:rPr>
              <w:t xml:space="preserve">élaboration des </w:t>
            </w:r>
            <w:r w:rsidR="002C1F8B">
              <w:rPr>
                <w:rFonts w:ascii="Arial" w:hAnsi="Arial"/>
                <w:sz w:val="22"/>
              </w:rPr>
              <w:t>LDIREI</w:t>
            </w:r>
            <w:r>
              <w:rPr>
                <w:rFonts w:ascii="Arial" w:hAnsi="Arial"/>
                <w:sz w:val="22"/>
              </w:rPr>
              <w:t xml:space="preserve"> </w:t>
            </w:r>
            <w:r w:rsidR="00CE04DC">
              <w:rPr>
                <w:rFonts w:ascii="Arial" w:hAnsi="Arial"/>
                <w:sz w:val="22"/>
              </w:rPr>
              <w:t>particulières à un</w:t>
            </w:r>
            <w:r>
              <w:rPr>
                <w:rFonts w:ascii="Arial" w:hAnsi="Arial"/>
                <w:sz w:val="22"/>
              </w:rPr>
              <w:t xml:space="preserve"> projet.</w:t>
            </w:r>
            <w:r w:rsidR="00B56E22">
              <w:rPr>
                <w:rFonts w:ascii="Arial" w:hAnsi="Arial"/>
                <w:sz w:val="22"/>
              </w:rPr>
              <w:t xml:space="preserve"> </w:t>
            </w:r>
            <w:r>
              <w:rPr>
                <w:rFonts w:ascii="Arial" w:hAnsi="Arial"/>
                <w:sz w:val="22"/>
              </w:rPr>
              <w:t xml:space="preserve">RNCan soutiendra également le processus d’évaluation d’impact en entreprenant une analyse économique des projets </w:t>
            </w:r>
            <w:r w:rsidR="00CE04DC">
              <w:rPr>
                <w:rFonts w:ascii="Arial" w:hAnsi="Arial"/>
                <w:sz w:val="22"/>
              </w:rPr>
              <w:t xml:space="preserve">d’exploitation </w:t>
            </w:r>
            <w:r>
              <w:rPr>
                <w:rFonts w:ascii="Arial" w:hAnsi="Arial"/>
                <w:sz w:val="22"/>
              </w:rPr>
              <w:t xml:space="preserve">de ressources naturelles misant sur </w:t>
            </w:r>
            <w:r w:rsidR="00CE04DC">
              <w:rPr>
                <w:rFonts w:ascii="Arial" w:hAnsi="Arial"/>
                <w:sz w:val="22"/>
              </w:rPr>
              <w:t xml:space="preserve">la mise en valeur </w:t>
            </w:r>
            <w:r>
              <w:rPr>
                <w:rFonts w:ascii="Arial" w:hAnsi="Arial"/>
                <w:sz w:val="22"/>
              </w:rPr>
              <w:t>durable et inclusive des ressources naturelles du Canada.</w:t>
            </w:r>
          </w:p>
          <w:p w14:paraId="0A52F338" w14:textId="101E54F9" w:rsidR="00005D9E" w:rsidRPr="0072596A" w:rsidRDefault="00005D9E" w:rsidP="00B56E22">
            <w:pPr>
              <w:rPr>
                <w:rFonts w:ascii="Arial" w:hAnsi="Arial" w:cs="Arial"/>
                <w:sz w:val="22"/>
                <w:szCs w:val="22"/>
              </w:rPr>
            </w:pPr>
          </w:p>
        </w:tc>
      </w:tr>
    </w:tbl>
    <w:p w14:paraId="37A1ED81" w14:textId="44065EDA" w:rsidR="005D6B8A" w:rsidRPr="00B56E22" w:rsidRDefault="005D6B8A" w:rsidP="00B56E22">
      <w:pPr>
        <w:pStyle w:val="Heading1"/>
        <w:keepNext w:val="0"/>
        <w:rPr>
          <w:rFonts w:ascii="Arial" w:hAnsi="Arial" w:cs="Arial"/>
          <w:sz w:val="2"/>
          <w:szCs w:val="2"/>
        </w:rPr>
      </w:pPr>
    </w:p>
    <w:sectPr w:rsidR="005D6B8A" w:rsidRPr="00B56E22" w:rsidSect="0072596A">
      <w:footerReference w:type="default" r:id="rId8"/>
      <w:headerReference w:type="first" r:id="rId9"/>
      <w:footerReference w:type="first" r:id="rId10"/>
      <w:pgSz w:w="15840" w:h="24480" w:code="17"/>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50606" w14:textId="77777777" w:rsidR="00C629C9" w:rsidRDefault="00C629C9" w:rsidP="00BB6A6F">
      <w:r>
        <w:separator/>
      </w:r>
    </w:p>
  </w:endnote>
  <w:endnote w:type="continuationSeparator" w:id="0">
    <w:p w14:paraId="5C13EEA8" w14:textId="77777777" w:rsidR="00C629C9" w:rsidRDefault="00C629C9" w:rsidP="00BB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96618"/>
      <w:docPartObj>
        <w:docPartGallery w:val="Page Numbers (Bottom of Page)"/>
        <w:docPartUnique/>
      </w:docPartObj>
    </w:sdtPr>
    <w:sdtEndPr>
      <w:rPr>
        <w:noProof/>
      </w:rPr>
    </w:sdtEndPr>
    <w:sdtContent>
      <w:p w14:paraId="746257EB" w14:textId="1E345D30" w:rsidR="00B17A10" w:rsidRDefault="00B17A10" w:rsidP="00B17A10">
        <w:pPr>
          <w:pStyle w:val="Footer"/>
          <w:jc w:val="right"/>
        </w:pPr>
        <w:r>
          <w:fldChar w:fldCharType="begin"/>
        </w:r>
        <w:r>
          <w:instrText xml:space="preserve"> PAGE   \* MERGEFORMAT </w:instrText>
        </w:r>
        <w:r>
          <w:fldChar w:fldCharType="separate"/>
        </w:r>
        <w:r w:rsidR="00840E2A">
          <w:rPr>
            <w:noProof/>
          </w:rPr>
          <w:t>2</w:t>
        </w:r>
        <w:r>
          <w:fldChar w:fldCharType="end"/>
        </w:r>
      </w:p>
    </w:sdtContent>
  </w:sdt>
  <w:p w14:paraId="649DFCD4" w14:textId="4A4747F2" w:rsidR="00B17A10" w:rsidRDefault="00B17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115725"/>
      <w:docPartObj>
        <w:docPartGallery w:val="Page Numbers (Bottom of Page)"/>
        <w:docPartUnique/>
      </w:docPartObj>
    </w:sdtPr>
    <w:sdtEndPr>
      <w:rPr>
        <w:noProof/>
      </w:rPr>
    </w:sdtEndPr>
    <w:sdtContent>
      <w:p w14:paraId="5E92DE20" w14:textId="5EF66463" w:rsidR="00BB6A6F" w:rsidRDefault="00BB6A6F">
        <w:pPr>
          <w:pStyle w:val="Footer"/>
          <w:jc w:val="right"/>
        </w:pPr>
        <w:r>
          <w:fldChar w:fldCharType="begin"/>
        </w:r>
        <w:r>
          <w:instrText xml:space="preserve"> PAGE   \* MERGEFORMAT </w:instrText>
        </w:r>
        <w:r>
          <w:fldChar w:fldCharType="separate"/>
        </w:r>
        <w:r w:rsidR="00840E2A">
          <w:rPr>
            <w:noProof/>
          </w:rPr>
          <w:t>1</w:t>
        </w:r>
        <w:r>
          <w:fldChar w:fldCharType="end"/>
        </w:r>
      </w:p>
    </w:sdtContent>
  </w:sdt>
  <w:p w14:paraId="4C66B5F8" w14:textId="77777777" w:rsidR="00BB6A6F" w:rsidRDefault="00BB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C4B2C" w14:textId="77777777" w:rsidR="00C629C9" w:rsidRDefault="00C629C9" w:rsidP="00BB6A6F">
      <w:r>
        <w:separator/>
      </w:r>
    </w:p>
  </w:footnote>
  <w:footnote w:type="continuationSeparator" w:id="0">
    <w:p w14:paraId="24650A3A" w14:textId="77777777" w:rsidR="00C629C9" w:rsidRDefault="00C629C9" w:rsidP="00BB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C6C" w14:textId="00B8CE70" w:rsidR="00BB6A6F" w:rsidRDefault="00BA7FC7">
    <w:pPr>
      <w:pStyle w:val="Header"/>
    </w:pPr>
    <w:r>
      <w:tab/>
    </w:r>
    <w:r>
      <w:tab/>
    </w:r>
    <w:r>
      <w:tab/>
    </w:r>
    <w:r>
      <w:tab/>
    </w:r>
    <w:r>
      <w:tab/>
    </w:r>
    <w:r w:rsidR="00840E2A">
      <w:t xml:space="preserve">8 </w:t>
    </w:r>
    <w:r w:rsidR="00840E2A" w:rsidRPr="00840E2A">
      <w:t xml:space="preserve">août </w:t>
    </w:r>
    <w:r>
      <w:t>2021</w:t>
    </w:r>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791"/>
    <w:multiLevelType w:val="hybridMultilevel"/>
    <w:tmpl w:val="0344BC80"/>
    <w:lvl w:ilvl="0" w:tplc="07DA700C">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C34023"/>
    <w:multiLevelType w:val="hybridMultilevel"/>
    <w:tmpl w:val="A3B2579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421F83"/>
    <w:multiLevelType w:val="hybridMultilevel"/>
    <w:tmpl w:val="429E20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2B15CA"/>
    <w:multiLevelType w:val="hybridMultilevel"/>
    <w:tmpl w:val="87D8DD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12106B"/>
    <w:multiLevelType w:val="hybridMultilevel"/>
    <w:tmpl w:val="D1DEEEA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F64CF7"/>
    <w:multiLevelType w:val="hybridMultilevel"/>
    <w:tmpl w:val="EB1884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895240"/>
    <w:multiLevelType w:val="hybridMultilevel"/>
    <w:tmpl w:val="9858E446"/>
    <w:lvl w:ilvl="0" w:tplc="D18EE16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D648B4"/>
    <w:multiLevelType w:val="hybridMultilevel"/>
    <w:tmpl w:val="E702C6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DA0DEB"/>
    <w:multiLevelType w:val="hybridMultilevel"/>
    <w:tmpl w:val="A2C2808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6F3428"/>
    <w:multiLevelType w:val="hybridMultilevel"/>
    <w:tmpl w:val="C046DAC2"/>
    <w:lvl w:ilvl="0" w:tplc="17BC0A2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B8B5455"/>
    <w:multiLevelType w:val="hybridMultilevel"/>
    <w:tmpl w:val="02D4DF58"/>
    <w:lvl w:ilvl="0" w:tplc="E34683B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AD440F"/>
    <w:multiLevelType w:val="hybridMultilevel"/>
    <w:tmpl w:val="39DE4CAC"/>
    <w:lvl w:ilvl="0" w:tplc="D610B102">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F7327C"/>
    <w:multiLevelType w:val="hybridMultilevel"/>
    <w:tmpl w:val="EE608D44"/>
    <w:lvl w:ilvl="0" w:tplc="D9E0F252">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4B307E"/>
    <w:multiLevelType w:val="hybridMultilevel"/>
    <w:tmpl w:val="29003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FF4FC0"/>
    <w:multiLevelType w:val="hybridMultilevel"/>
    <w:tmpl w:val="71425F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A714352"/>
    <w:multiLevelType w:val="hybridMultilevel"/>
    <w:tmpl w:val="A1888B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A9D64FC"/>
    <w:multiLevelType w:val="hybridMultilevel"/>
    <w:tmpl w:val="29B8FCF4"/>
    <w:lvl w:ilvl="0" w:tplc="E34683B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085C93"/>
    <w:multiLevelType w:val="hybridMultilevel"/>
    <w:tmpl w:val="A920D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6717F9"/>
    <w:multiLevelType w:val="hybridMultilevel"/>
    <w:tmpl w:val="A04852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CC043B"/>
    <w:multiLevelType w:val="hybridMultilevel"/>
    <w:tmpl w:val="53F09E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607059E"/>
    <w:multiLevelType w:val="hybridMultilevel"/>
    <w:tmpl w:val="46F80D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6454B74"/>
    <w:multiLevelType w:val="hybridMultilevel"/>
    <w:tmpl w:val="9858E446"/>
    <w:lvl w:ilvl="0" w:tplc="D18EE16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C2304A6"/>
    <w:multiLevelType w:val="hybridMultilevel"/>
    <w:tmpl w:val="68A641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2E0827"/>
    <w:multiLevelType w:val="hybridMultilevel"/>
    <w:tmpl w:val="9858E446"/>
    <w:lvl w:ilvl="0" w:tplc="D18EE16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614022"/>
    <w:multiLevelType w:val="hybridMultilevel"/>
    <w:tmpl w:val="D90E9F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7B39EB"/>
    <w:multiLevelType w:val="hybridMultilevel"/>
    <w:tmpl w:val="26BEC86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8C56A3"/>
    <w:multiLevelType w:val="hybridMultilevel"/>
    <w:tmpl w:val="CB8680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DE1070"/>
    <w:multiLevelType w:val="hybridMultilevel"/>
    <w:tmpl w:val="67D6F562"/>
    <w:lvl w:ilvl="0" w:tplc="B89E212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700952E0"/>
    <w:multiLevelType w:val="hybridMultilevel"/>
    <w:tmpl w:val="7A2ED4F0"/>
    <w:lvl w:ilvl="0" w:tplc="79AC4458">
      <w:start w:val="1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9810FE8"/>
    <w:multiLevelType w:val="hybridMultilevel"/>
    <w:tmpl w:val="D3EEFA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F15F70"/>
    <w:multiLevelType w:val="hybridMultilevel"/>
    <w:tmpl w:val="310C1B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10"/>
  </w:num>
  <w:num w:numId="3">
    <w:abstractNumId w:val="30"/>
  </w:num>
  <w:num w:numId="4">
    <w:abstractNumId w:val="14"/>
  </w:num>
  <w:num w:numId="5">
    <w:abstractNumId w:val="2"/>
  </w:num>
  <w:num w:numId="6">
    <w:abstractNumId w:val="20"/>
  </w:num>
  <w:num w:numId="7">
    <w:abstractNumId w:val="29"/>
  </w:num>
  <w:num w:numId="8">
    <w:abstractNumId w:val="7"/>
  </w:num>
  <w:num w:numId="9">
    <w:abstractNumId w:val="15"/>
  </w:num>
  <w:num w:numId="10">
    <w:abstractNumId w:val="3"/>
  </w:num>
  <w:num w:numId="11">
    <w:abstractNumId w:val="17"/>
  </w:num>
  <w:num w:numId="12">
    <w:abstractNumId w:val="21"/>
  </w:num>
  <w:num w:numId="13">
    <w:abstractNumId w:val="6"/>
  </w:num>
  <w:num w:numId="14">
    <w:abstractNumId w:val="23"/>
  </w:num>
  <w:num w:numId="15">
    <w:abstractNumId w:val="27"/>
  </w:num>
  <w:num w:numId="16">
    <w:abstractNumId w:val="18"/>
  </w:num>
  <w:num w:numId="17">
    <w:abstractNumId w:val="4"/>
  </w:num>
  <w:num w:numId="18">
    <w:abstractNumId w:val="24"/>
  </w:num>
  <w:num w:numId="19">
    <w:abstractNumId w:val="19"/>
  </w:num>
  <w:num w:numId="20">
    <w:abstractNumId w:val="28"/>
  </w:num>
  <w:num w:numId="21">
    <w:abstractNumId w:val="12"/>
  </w:num>
  <w:num w:numId="22">
    <w:abstractNumId w:val="25"/>
  </w:num>
  <w:num w:numId="23">
    <w:abstractNumId w:val="1"/>
  </w:num>
  <w:num w:numId="24">
    <w:abstractNumId w:val="11"/>
  </w:num>
  <w:num w:numId="25">
    <w:abstractNumId w:val="22"/>
  </w:num>
  <w:num w:numId="26">
    <w:abstractNumId w:val="0"/>
  </w:num>
  <w:num w:numId="27">
    <w:abstractNumId w:val="9"/>
  </w:num>
  <w:num w:numId="28">
    <w:abstractNumId w:val="8"/>
  </w:num>
  <w:num w:numId="29">
    <w:abstractNumId w:val="26"/>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91"/>
    <w:rsid w:val="00005D9E"/>
    <w:rsid w:val="0000728D"/>
    <w:rsid w:val="0001149A"/>
    <w:rsid w:val="0004408F"/>
    <w:rsid w:val="00044A28"/>
    <w:rsid w:val="00047FBC"/>
    <w:rsid w:val="000561F0"/>
    <w:rsid w:val="00070716"/>
    <w:rsid w:val="00082B2A"/>
    <w:rsid w:val="00086749"/>
    <w:rsid w:val="000A0B50"/>
    <w:rsid w:val="000B4D1F"/>
    <w:rsid w:val="000C29DF"/>
    <w:rsid w:val="000D2B74"/>
    <w:rsid w:val="000D467F"/>
    <w:rsid w:val="000D4CB2"/>
    <w:rsid w:val="000F453C"/>
    <w:rsid w:val="000F4B95"/>
    <w:rsid w:val="00141DF4"/>
    <w:rsid w:val="00172E4F"/>
    <w:rsid w:val="00191330"/>
    <w:rsid w:val="001A2512"/>
    <w:rsid w:val="001A6588"/>
    <w:rsid w:val="001A77A7"/>
    <w:rsid w:val="001A7C94"/>
    <w:rsid w:val="00202224"/>
    <w:rsid w:val="00204551"/>
    <w:rsid w:val="002045DC"/>
    <w:rsid w:val="002114DD"/>
    <w:rsid w:val="00235E5B"/>
    <w:rsid w:val="00244846"/>
    <w:rsid w:val="0024574F"/>
    <w:rsid w:val="00257F7E"/>
    <w:rsid w:val="00261F7A"/>
    <w:rsid w:val="0027103A"/>
    <w:rsid w:val="00287CF0"/>
    <w:rsid w:val="002C1F8B"/>
    <w:rsid w:val="002D28D6"/>
    <w:rsid w:val="0030159E"/>
    <w:rsid w:val="00313E8A"/>
    <w:rsid w:val="0036422A"/>
    <w:rsid w:val="00381D55"/>
    <w:rsid w:val="003C2C1C"/>
    <w:rsid w:val="003F37E4"/>
    <w:rsid w:val="003F3E90"/>
    <w:rsid w:val="00404F4A"/>
    <w:rsid w:val="0041048D"/>
    <w:rsid w:val="00410FDF"/>
    <w:rsid w:val="00451876"/>
    <w:rsid w:val="004556C4"/>
    <w:rsid w:val="00473F2C"/>
    <w:rsid w:val="00491723"/>
    <w:rsid w:val="004B4031"/>
    <w:rsid w:val="00544ED8"/>
    <w:rsid w:val="00556F2E"/>
    <w:rsid w:val="00565C3E"/>
    <w:rsid w:val="00576997"/>
    <w:rsid w:val="00577341"/>
    <w:rsid w:val="00596482"/>
    <w:rsid w:val="005C4034"/>
    <w:rsid w:val="005C7F38"/>
    <w:rsid w:val="005D6B8A"/>
    <w:rsid w:val="005E40B0"/>
    <w:rsid w:val="005E79E3"/>
    <w:rsid w:val="005F1826"/>
    <w:rsid w:val="00606EA1"/>
    <w:rsid w:val="00610F4C"/>
    <w:rsid w:val="006211DA"/>
    <w:rsid w:val="00643CB9"/>
    <w:rsid w:val="00644344"/>
    <w:rsid w:val="00646EAC"/>
    <w:rsid w:val="00663B55"/>
    <w:rsid w:val="00683B74"/>
    <w:rsid w:val="006D2A91"/>
    <w:rsid w:val="006F4955"/>
    <w:rsid w:val="0072596A"/>
    <w:rsid w:val="0073489C"/>
    <w:rsid w:val="00760769"/>
    <w:rsid w:val="007A67D7"/>
    <w:rsid w:val="007B23E9"/>
    <w:rsid w:val="00824762"/>
    <w:rsid w:val="00824835"/>
    <w:rsid w:val="00825554"/>
    <w:rsid w:val="00840E2A"/>
    <w:rsid w:val="00872376"/>
    <w:rsid w:val="008739CC"/>
    <w:rsid w:val="0087522C"/>
    <w:rsid w:val="00887CB1"/>
    <w:rsid w:val="008A09B6"/>
    <w:rsid w:val="008D4D7F"/>
    <w:rsid w:val="008E3DD5"/>
    <w:rsid w:val="008E6011"/>
    <w:rsid w:val="008F463C"/>
    <w:rsid w:val="00934E6C"/>
    <w:rsid w:val="00964827"/>
    <w:rsid w:val="009720DF"/>
    <w:rsid w:val="009A2785"/>
    <w:rsid w:val="009C6BF4"/>
    <w:rsid w:val="009F44C0"/>
    <w:rsid w:val="009F6C4A"/>
    <w:rsid w:val="00A04687"/>
    <w:rsid w:val="00A127EB"/>
    <w:rsid w:val="00A2188A"/>
    <w:rsid w:val="00A246BC"/>
    <w:rsid w:val="00A43679"/>
    <w:rsid w:val="00A462D9"/>
    <w:rsid w:val="00A521F0"/>
    <w:rsid w:val="00A57B14"/>
    <w:rsid w:val="00A814E0"/>
    <w:rsid w:val="00AA65D4"/>
    <w:rsid w:val="00AC0E36"/>
    <w:rsid w:val="00AC20DC"/>
    <w:rsid w:val="00AE2172"/>
    <w:rsid w:val="00AE688C"/>
    <w:rsid w:val="00AF73E7"/>
    <w:rsid w:val="00B17A10"/>
    <w:rsid w:val="00B20937"/>
    <w:rsid w:val="00B3657D"/>
    <w:rsid w:val="00B50E90"/>
    <w:rsid w:val="00B56E22"/>
    <w:rsid w:val="00B86684"/>
    <w:rsid w:val="00B86C93"/>
    <w:rsid w:val="00BA7FC7"/>
    <w:rsid w:val="00BB0BD6"/>
    <w:rsid w:val="00BB6A6F"/>
    <w:rsid w:val="00BC7D68"/>
    <w:rsid w:val="00BD540B"/>
    <w:rsid w:val="00C043B7"/>
    <w:rsid w:val="00C05149"/>
    <w:rsid w:val="00C27623"/>
    <w:rsid w:val="00C305C7"/>
    <w:rsid w:val="00C46F91"/>
    <w:rsid w:val="00C53A5E"/>
    <w:rsid w:val="00C629C9"/>
    <w:rsid w:val="00C7395F"/>
    <w:rsid w:val="00C76ECE"/>
    <w:rsid w:val="00C81A18"/>
    <w:rsid w:val="00C9004D"/>
    <w:rsid w:val="00CA1192"/>
    <w:rsid w:val="00CC09A1"/>
    <w:rsid w:val="00CE04DC"/>
    <w:rsid w:val="00D00A34"/>
    <w:rsid w:val="00D30F8A"/>
    <w:rsid w:val="00D328C0"/>
    <w:rsid w:val="00D65E7B"/>
    <w:rsid w:val="00D70C5F"/>
    <w:rsid w:val="00DB3C61"/>
    <w:rsid w:val="00DE0C53"/>
    <w:rsid w:val="00E04727"/>
    <w:rsid w:val="00E04C5D"/>
    <w:rsid w:val="00E2279B"/>
    <w:rsid w:val="00E33E62"/>
    <w:rsid w:val="00E72609"/>
    <w:rsid w:val="00EC1DC2"/>
    <w:rsid w:val="00EE5209"/>
    <w:rsid w:val="00EE6706"/>
    <w:rsid w:val="00EF07F9"/>
    <w:rsid w:val="00EF4A41"/>
    <w:rsid w:val="00EF50D6"/>
    <w:rsid w:val="00F10A9E"/>
    <w:rsid w:val="00F2583E"/>
    <w:rsid w:val="00F25D02"/>
    <w:rsid w:val="00F36A4B"/>
    <w:rsid w:val="00F4445F"/>
    <w:rsid w:val="00F46841"/>
    <w:rsid w:val="00F56BB8"/>
    <w:rsid w:val="00FA0DFE"/>
    <w:rsid w:val="00FD1500"/>
    <w:rsid w:val="00FD45B5"/>
    <w:rsid w:val="00FE03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70973"/>
  <w15:chartTrackingRefBased/>
  <w15:docId w15:val="{9A273011-F519-44B6-B415-264E5A6D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CA"/>
    </w:rPr>
  </w:style>
  <w:style w:type="paragraph" w:styleId="Heading1">
    <w:name w:val="heading 1"/>
    <w:basedOn w:val="Normal"/>
    <w:next w:val="Normal"/>
    <w:link w:val="Heading1Char"/>
    <w:uiPriority w:val="9"/>
    <w:qFormat/>
    <w:rsid w:val="006D2A91"/>
    <w:pPr>
      <w:keepNext/>
      <w:keepLines/>
      <w:spacing w:before="24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semiHidden/>
    <w:unhideWhenUsed/>
    <w:qFormat/>
    <w:rsid w:val="0024574F"/>
    <w:pPr>
      <w:keepNext/>
      <w:keepLines/>
      <w:overflowPunct/>
      <w:autoSpaceDE/>
      <w:autoSpaceDN/>
      <w:adjustRightInd/>
      <w:spacing w:before="40"/>
      <w:textAlignment w:val="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24574F"/>
    <w:pPr>
      <w:keepNext/>
      <w:keepLines/>
      <w:overflowPunct/>
      <w:autoSpaceDE/>
      <w:autoSpaceDN/>
      <w:adjustRightInd/>
      <w:spacing w:before="40"/>
      <w:textAlignment w:val="auto"/>
      <w:outlineLvl w:val="2"/>
    </w:pPr>
    <w:rPr>
      <w:rFonts w:asciiTheme="majorHAnsi" w:eastAsiaTheme="majorEastAsia" w:hAnsiTheme="majorHAnsi" w:cstheme="majorBidi"/>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A91"/>
    <w:pPr>
      <w:ind w:left="720"/>
      <w:contextualSpacing/>
    </w:pPr>
  </w:style>
  <w:style w:type="character" w:customStyle="1" w:styleId="Heading1Char">
    <w:name w:val="Heading 1 Char"/>
    <w:basedOn w:val="DefaultParagraphFont"/>
    <w:link w:val="Heading1"/>
    <w:uiPriority w:val="9"/>
    <w:rsid w:val="006D2A91"/>
    <w:rPr>
      <w:rFonts w:asciiTheme="majorHAnsi" w:eastAsiaTheme="majorEastAsia" w:hAnsiTheme="majorHAnsi" w:cstheme="majorBidi"/>
      <w:b/>
      <w:sz w:val="32"/>
      <w:szCs w:val="32"/>
      <w:u w:val="single"/>
      <w:lang w:val="fr-CA" w:eastAsia="en-CA"/>
    </w:rPr>
  </w:style>
  <w:style w:type="character" w:customStyle="1" w:styleId="Heading2Char">
    <w:name w:val="Heading 2 Char"/>
    <w:basedOn w:val="DefaultParagraphFont"/>
    <w:link w:val="Heading2"/>
    <w:uiPriority w:val="9"/>
    <w:semiHidden/>
    <w:rsid w:val="002457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4574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45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74F"/>
    <w:rPr>
      <w:color w:val="0563C1" w:themeColor="hyperlink"/>
      <w:u w:val="single"/>
    </w:rPr>
  </w:style>
  <w:style w:type="paragraph" w:customStyle="1" w:styleId="Default">
    <w:name w:val="Default"/>
    <w:rsid w:val="0024574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574F"/>
    <w:pPr>
      <w:tabs>
        <w:tab w:val="center" w:pos="4680"/>
        <w:tab w:val="right" w:pos="9360"/>
      </w:tabs>
      <w:overflowPunct/>
      <w:autoSpaceDE/>
      <w:autoSpaceDN/>
      <w:adjustRightInd/>
      <w:textAlignment w:val="auto"/>
    </w:pPr>
    <w:rPr>
      <w:rFonts w:ascii="Calibri" w:eastAsiaTheme="minorHAnsi" w:hAnsi="Calibri" w:cs="Calibri"/>
      <w:sz w:val="22"/>
      <w:szCs w:val="22"/>
      <w:lang w:eastAsia="en-US"/>
    </w:rPr>
  </w:style>
  <w:style w:type="character" w:customStyle="1" w:styleId="HeaderChar">
    <w:name w:val="Header Char"/>
    <w:basedOn w:val="DefaultParagraphFont"/>
    <w:link w:val="Header"/>
    <w:uiPriority w:val="99"/>
    <w:rsid w:val="0024574F"/>
    <w:rPr>
      <w:rFonts w:ascii="Calibri" w:hAnsi="Calibri" w:cs="Calibri"/>
    </w:rPr>
  </w:style>
  <w:style w:type="paragraph" w:styleId="Footer">
    <w:name w:val="footer"/>
    <w:basedOn w:val="Normal"/>
    <w:link w:val="FooterChar"/>
    <w:uiPriority w:val="99"/>
    <w:unhideWhenUsed/>
    <w:rsid w:val="0024574F"/>
    <w:pPr>
      <w:tabs>
        <w:tab w:val="center" w:pos="4680"/>
        <w:tab w:val="right" w:pos="9360"/>
      </w:tabs>
      <w:overflowPunct/>
      <w:autoSpaceDE/>
      <w:autoSpaceDN/>
      <w:adjustRightInd/>
      <w:textAlignment w:val="auto"/>
    </w:pPr>
    <w:rPr>
      <w:rFonts w:ascii="Calibri" w:eastAsiaTheme="minorHAnsi" w:hAnsi="Calibri" w:cs="Calibri"/>
      <w:sz w:val="22"/>
      <w:szCs w:val="22"/>
      <w:lang w:eastAsia="en-US"/>
    </w:rPr>
  </w:style>
  <w:style w:type="character" w:customStyle="1" w:styleId="FooterChar">
    <w:name w:val="Footer Char"/>
    <w:basedOn w:val="DefaultParagraphFont"/>
    <w:link w:val="Footer"/>
    <w:uiPriority w:val="99"/>
    <w:rsid w:val="0024574F"/>
    <w:rPr>
      <w:rFonts w:ascii="Calibri" w:hAnsi="Calibri" w:cs="Calibri"/>
    </w:rPr>
  </w:style>
  <w:style w:type="character" w:styleId="CommentReference">
    <w:name w:val="annotation reference"/>
    <w:aliases w:val="Comment Reference-GEM,Comment Reference-JWA"/>
    <w:basedOn w:val="DefaultParagraphFont"/>
    <w:uiPriority w:val="99"/>
    <w:unhideWhenUsed/>
    <w:qFormat/>
    <w:rsid w:val="0024574F"/>
    <w:rPr>
      <w:sz w:val="16"/>
      <w:szCs w:val="16"/>
    </w:rPr>
  </w:style>
  <w:style w:type="paragraph" w:styleId="CommentText">
    <w:name w:val="annotation text"/>
    <w:basedOn w:val="Normal"/>
    <w:link w:val="CommentTextChar"/>
    <w:uiPriority w:val="99"/>
    <w:semiHidden/>
    <w:unhideWhenUsed/>
    <w:rsid w:val="0024574F"/>
    <w:pPr>
      <w:overflowPunct/>
      <w:autoSpaceDE/>
      <w:autoSpaceDN/>
      <w:adjustRightInd/>
      <w:textAlignment w:val="auto"/>
    </w:pPr>
    <w:rPr>
      <w:rFonts w:ascii="Calibri" w:eastAsiaTheme="minorHAnsi" w:hAnsi="Calibri" w:cs="Calibri"/>
      <w:lang w:eastAsia="en-US"/>
    </w:rPr>
  </w:style>
  <w:style w:type="character" w:customStyle="1" w:styleId="CommentTextChar">
    <w:name w:val="Comment Text Char"/>
    <w:basedOn w:val="DefaultParagraphFont"/>
    <w:link w:val="CommentText"/>
    <w:uiPriority w:val="99"/>
    <w:semiHidden/>
    <w:rsid w:val="0024574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574F"/>
    <w:rPr>
      <w:b/>
      <w:bCs/>
    </w:rPr>
  </w:style>
  <w:style w:type="character" w:customStyle="1" w:styleId="CommentSubjectChar">
    <w:name w:val="Comment Subject Char"/>
    <w:basedOn w:val="CommentTextChar"/>
    <w:link w:val="CommentSubject"/>
    <w:uiPriority w:val="99"/>
    <w:semiHidden/>
    <w:rsid w:val="0024574F"/>
    <w:rPr>
      <w:rFonts w:ascii="Calibri" w:hAnsi="Calibri" w:cs="Calibri"/>
      <w:b/>
      <w:bCs/>
      <w:sz w:val="20"/>
      <w:szCs w:val="20"/>
    </w:rPr>
  </w:style>
  <w:style w:type="paragraph" w:styleId="BalloonText">
    <w:name w:val="Balloon Text"/>
    <w:basedOn w:val="Normal"/>
    <w:link w:val="BalloonTextChar"/>
    <w:uiPriority w:val="99"/>
    <w:semiHidden/>
    <w:unhideWhenUsed/>
    <w:rsid w:val="0024574F"/>
    <w:pPr>
      <w:overflowPunct/>
      <w:autoSpaceDE/>
      <w:autoSpaceDN/>
      <w:adjustRightInd/>
      <w:textAlignment w:val="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4574F"/>
    <w:rPr>
      <w:rFonts w:ascii="Segoe UI" w:hAnsi="Segoe UI" w:cs="Segoe UI"/>
      <w:sz w:val="18"/>
      <w:szCs w:val="18"/>
    </w:rPr>
  </w:style>
  <w:style w:type="numbering" w:customStyle="1" w:styleId="NoList1">
    <w:name w:val="No List1"/>
    <w:next w:val="NoList"/>
    <w:uiPriority w:val="99"/>
    <w:semiHidden/>
    <w:unhideWhenUsed/>
    <w:rsid w:val="0024574F"/>
  </w:style>
  <w:style w:type="table" w:customStyle="1" w:styleId="TableGrid1">
    <w:name w:val="Table Grid1"/>
    <w:basedOn w:val="TableNormal"/>
    <w:next w:val="TableGrid"/>
    <w:uiPriority w:val="39"/>
    <w:rsid w:val="00245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0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576743">
      <w:bodyDiv w:val="1"/>
      <w:marLeft w:val="0"/>
      <w:marRight w:val="0"/>
      <w:marTop w:val="0"/>
      <w:marBottom w:val="0"/>
      <w:divBdr>
        <w:top w:val="none" w:sz="0" w:space="0" w:color="auto"/>
        <w:left w:val="none" w:sz="0" w:space="0" w:color="auto"/>
        <w:bottom w:val="none" w:sz="0" w:space="0" w:color="auto"/>
        <w:right w:val="none" w:sz="0" w:space="0" w:color="auto"/>
      </w:divBdr>
    </w:div>
    <w:div w:id="21296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6D45B-77EA-4061-A6C3-233C5794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Fitzpatrick,Stephen [CEAA]</dc:creator>
  <cp:keywords/>
  <dc:description/>
  <cp:lastModifiedBy>Anderson,Candace (IAAC/AEIC)</cp:lastModifiedBy>
  <cp:revision>10</cp:revision>
  <dcterms:created xsi:type="dcterms:W3CDTF">2021-07-21T20:42:00Z</dcterms:created>
  <dcterms:modified xsi:type="dcterms:W3CDTF">2021-08-06T17:22:00Z</dcterms:modified>
</cp:coreProperties>
</file>