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971A3" w14:textId="25AC1AA6" w:rsidR="000561F0" w:rsidRPr="00BA7FC7" w:rsidRDefault="00BA7FC7" w:rsidP="000561F0">
      <w:pPr>
        <w:rPr>
          <w:rFonts w:ascii="Arial" w:hAnsi="Arial" w:cs="Arial"/>
          <w:b/>
          <w:sz w:val="22"/>
          <w:szCs w:val="22"/>
        </w:rPr>
      </w:pPr>
      <w:r w:rsidRPr="00BA7FC7">
        <w:rPr>
          <w:rFonts w:ascii="Arial" w:hAnsi="Arial" w:cs="Arial"/>
          <w:b/>
          <w:sz w:val="22"/>
          <w:szCs w:val="22"/>
        </w:rPr>
        <w:t>Government of Canada Response to the Joint Review Panel Recommendations for the Grassy Mountain Coal Project</w:t>
      </w:r>
      <w:bookmarkStart w:id="0" w:name="_GoBack"/>
      <w:bookmarkEnd w:id="0"/>
    </w:p>
    <w:p w14:paraId="4FE0DA58" w14:textId="77777777" w:rsidR="00BA7FC7" w:rsidRPr="0072596A" w:rsidRDefault="00BA7FC7" w:rsidP="000561F0">
      <w:pPr>
        <w:rPr>
          <w:rFonts w:ascii="Arial" w:hAnsi="Arial" w:cs="Arial"/>
          <w:sz w:val="22"/>
          <w:szCs w:val="22"/>
        </w:rPr>
      </w:pPr>
    </w:p>
    <w:p w14:paraId="4802DB62" w14:textId="26AA0862" w:rsidR="000561F0" w:rsidRPr="0072596A" w:rsidRDefault="000561F0" w:rsidP="000561F0">
      <w:pPr>
        <w:rPr>
          <w:rFonts w:ascii="Arial" w:hAnsi="Arial" w:cs="Arial"/>
          <w:sz w:val="22"/>
          <w:szCs w:val="22"/>
        </w:rPr>
      </w:pPr>
      <w:r w:rsidRPr="0072596A">
        <w:rPr>
          <w:rFonts w:ascii="Arial" w:hAnsi="Arial" w:cs="Arial"/>
          <w:sz w:val="22"/>
          <w:szCs w:val="22"/>
        </w:rPr>
        <w:t xml:space="preserve">The Joint Review Panel </w:t>
      </w:r>
      <w:r w:rsidR="009338E4">
        <w:rPr>
          <w:rFonts w:ascii="Arial" w:hAnsi="Arial" w:cs="Arial"/>
          <w:sz w:val="22"/>
          <w:szCs w:val="22"/>
        </w:rPr>
        <w:t xml:space="preserve">(the Panel) </w:t>
      </w:r>
      <w:r w:rsidRPr="0072596A">
        <w:rPr>
          <w:rFonts w:ascii="Arial" w:hAnsi="Arial" w:cs="Arial"/>
          <w:sz w:val="22"/>
          <w:szCs w:val="22"/>
        </w:rPr>
        <w:t xml:space="preserve">for the Grassy Mountain Coal Project </w:t>
      </w:r>
      <w:r w:rsidR="00A521F0">
        <w:rPr>
          <w:rFonts w:ascii="Arial" w:hAnsi="Arial" w:cs="Arial"/>
          <w:sz w:val="22"/>
          <w:szCs w:val="22"/>
        </w:rPr>
        <w:t xml:space="preserve">(the Project) </w:t>
      </w:r>
      <w:r w:rsidRPr="0072596A">
        <w:rPr>
          <w:rFonts w:ascii="Arial" w:hAnsi="Arial" w:cs="Arial"/>
          <w:sz w:val="22"/>
          <w:szCs w:val="22"/>
        </w:rPr>
        <w:t xml:space="preserve">made </w:t>
      </w:r>
      <w:r w:rsidR="00DB514B">
        <w:rPr>
          <w:rFonts w:ascii="Arial" w:hAnsi="Arial" w:cs="Arial"/>
          <w:sz w:val="22"/>
          <w:szCs w:val="22"/>
        </w:rPr>
        <w:t xml:space="preserve">six </w:t>
      </w:r>
      <w:r w:rsidRPr="0072596A">
        <w:rPr>
          <w:rFonts w:ascii="Arial" w:hAnsi="Arial" w:cs="Arial"/>
          <w:sz w:val="22"/>
          <w:szCs w:val="22"/>
        </w:rPr>
        <w:t>(6) recommendations to the federal and provincial governments relating to the effects of the Project. These recommendations address limitations that the Panel observed during the review process associated with: (1) the guidance available for the environmental assessment (or impact assessment) process, or (2) the regulatory framework as it relates to areas of federal authority. The Panel indicated that implementation of the recommendations may improve the effectiveness of the review process and/or provide helpful direction to future decision makers, proponents, and members of the public.</w:t>
      </w:r>
    </w:p>
    <w:p w14:paraId="30A7228F" w14:textId="77777777" w:rsidR="000561F0" w:rsidRPr="0072596A" w:rsidRDefault="000561F0" w:rsidP="000561F0">
      <w:pPr>
        <w:rPr>
          <w:rFonts w:ascii="Arial" w:hAnsi="Arial" w:cs="Arial"/>
          <w:sz w:val="22"/>
          <w:szCs w:val="22"/>
        </w:rPr>
      </w:pPr>
    </w:p>
    <w:p w14:paraId="16E58744" w14:textId="6202DA14" w:rsidR="000561F0" w:rsidRPr="0072596A" w:rsidRDefault="00DB514B" w:rsidP="000561F0">
      <w:pPr>
        <w:rPr>
          <w:rFonts w:ascii="Arial" w:hAnsi="Arial" w:cs="Arial"/>
          <w:sz w:val="22"/>
          <w:szCs w:val="22"/>
        </w:rPr>
      </w:pPr>
      <w:r>
        <w:rPr>
          <w:rFonts w:ascii="Arial" w:hAnsi="Arial" w:cs="Arial"/>
          <w:sz w:val="22"/>
          <w:szCs w:val="22"/>
        </w:rPr>
        <w:t>The Government of Canada’s response to the recommendations directed at the federal government are outlined below.</w:t>
      </w:r>
    </w:p>
    <w:p w14:paraId="20F07B71" w14:textId="7EF7131B" w:rsidR="006D2A91" w:rsidRPr="0072596A" w:rsidRDefault="0072596A" w:rsidP="006D2A91">
      <w:pPr>
        <w:pStyle w:val="Heading1"/>
        <w:rPr>
          <w:rFonts w:ascii="Arial" w:hAnsi="Arial" w:cs="Arial"/>
          <w:sz w:val="22"/>
          <w:szCs w:val="22"/>
        </w:rPr>
      </w:pPr>
      <w:r>
        <w:rPr>
          <w:rFonts w:ascii="Arial" w:hAnsi="Arial" w:cs="Arial"/>
          <w:sz w:val="22"/>
          <w:szCs w:val="22"/>
        </w:rPr>
        <w:t xml:space="preserve">Panel </w:t>
      </w:r>
      <w:r w:rsidR="009C6BF4" w:rsidRPr="0072596A">
        <w:rPr>
          <w:rFonts w:ascii="Arial" w:hAnsi="Arial" w:cs="Arial"/>
          <w:sz w:val="22"/>
          <w:szCs w:val="22"/>
        </w:rPr>
        <w:t>R</w:t>
      </w:r>
      <w:r w:rsidR="00451876" w:rsidRPr="0072596A">
        <w:rPr>
          <w:rFonts w:ascii="Arial" w:hAnsi="Arial" w:cs="Arial"/>
          <w:sz w:val="22"/>
          <w:szCs w:val="22"/>
        </w:rPr>
        <w:t>ecommendation</w:t>
      </w:r>
      <w:r>
        <w:rPr>
          <w:rFonts w:ascii="Arial" w:hAnsi="Arial" w:cs="Arial"/>
          <w:sz w:val="22"/>
          <w:szCs w:val="22"/>
        </w:rPr>
        <w:t>s</w:t>
      </w:r>
    </w:p>
    <w:p w14:paraId="44BC5007" w14:textId="77777777" w:rsidR="006D2A91" w:rsidRPr="0072596A" w:rsidRDefault="006D2A91" w:rsidP="006D2A91">
      <w:pPr>
        <w:rPr>
          <w:rFonts w:ascii="Arial" w:hAnsi="Arial" w:cs="Arial"/>
          <w:b/>
          <w:sz w:val="22"/>
          <w:szCs w:val="22"/>
          <w:u w:val="single"/>
        </w:rPr>
      </w:pPr>
    </w:p>
    <w:tbl>
      <w:tblPr>
        <w:tblpPr w:leftFromText="180" w:rightFromText="180" w:vertAnchor="text" w:tblpY="1"/>
        <w:tblOverlap w:val="neve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2"/>
        <w:gridCol w:w="6171"/>
        <w:gridCol w:w="7201"/>
      </w:tblGrid>
      <w:tr w:rsidR="00AF73E7" w:rsidRPr="0072596A" w14:paraId="1BF95DCC" w14:textId="77777777" w:rsidTr="00E33E62">
        <w:trPr>
          <w:tblHeader/>
        </w:trPr>
        <w:tc>
          <w:tcPr>
            <w:tcW w:w="296" w:type="pct"/>
            <w:shd w:val="clear" w:color="auto" w:fill="DEEAF6" w:themeFill="accent1" w:themeFillTint="33"/>
          </w:tcPr>
          <w:p w14:paraId="075707CE" w14:textId="77777777" w:rsidR="00AF73E7" w:rsidRPr="0072596A" w:rsidRDefault="00AF73E7" w:rsidP="00E33E62">
            <w:pPr>
              <w:rPr>
                <w:rFonts w:ascii="Arial" w:hAnsi="Arial" w:cs="Arial"/>
                <w:b/>
                <w:bCs/>
                <w:sz w:val="22"/>
                <w:szCs w:val="22"/>
              </w:rPr>
            </w:pPr>
            <w:r w:rsidRPr="0072596A">
              <w:rPr>
                <w:rFonts w:ascii="Arial" w:hAnsi="Arial" w:cs="Arial"/>
                <w:b/>
                <w:bCs/>
                <w:sz w:val="22"/>
                <w:szCs w:val="22"/>
              </w:rPr>
              <w:t xml:space="preserve">Rec. </w:t>
            </w:r>
          </w:p>
          <w:p w14:paraId="30D3312B" w14:textId="77777777" w:rsidR="00AF73E7" w:rsidRPr="0072596A" w:rsidRDefault="00AF73E7" w:rsidP="00E33E62">
            <w:pPr>
              <w:rPr>
                <w:rFonts w:ascii="Arial" w:hAnsi="Arial" w:cs="Arial"/>
                <w:b/>
                <w:bCs/>
                <w:sz w:val="22"/>
                <w:szCs w:val="22"/>
              </w:rPr>
            </w:pPr>
            <w:r w:rsidRPr="0072596A">
              <w:rPr>
                <w:rFonts w:ascii="Arial" w:hAnsi="Arial" w:cs="Arial"/>
                <w:b/>
                <w:bCs/>
                <w:sz w:val="22"/>
                <w:szCs w:val="22"/>
              </w:rPr>
              <w:t>Number</w:t>
            </w:r>
          </w:p>
        </w:tc>
        <w:tc>
          <w:tcPr>
            <w:tcW w:w="2171" w:type="pct"/>
            <w:shd w:val="clear" w:color="auto" w:fill="DEEAF6" w:themeFill="accent1" w:themeFillTint="33"/>
            <w:tcMar>
              <w:top w:w="0" w:type="dxa"/>
              <w:left w:w="108" w:type="dxa"/>
              <w:bottom w:w="0" w:type="dxa"/>
              <w:right w:w="108" w:type="dxa"/>
            </w:tcMar>
            <w:hideMark/>
          </w:tcPr>
          <w:p w14:paraId="31121577" w14:textId="22752B1A" w:rsidR="00AF73E7" w:rsidRPr="0072596A" w:rsidRDefault="009C6BF4" w:rsidP="00E33E62">
            <w:pPr>
              <w:rPr>
                <w:rFonts w:ascii="Arial" w:hAnsi="Arial" w:cs="Arial"/>
                <w:b/>
                <w:bCs/>
                <w:sz w:val="22"/>
                <w:szCs w:val="22"/>
              </w:rPr>
            </w:pPr>
            <w:r w:rsidRPr="0072596A">
              <w:rPr>
                <w:rFonts w:ascii="Arial" w:hAnsi="Arial" w:cs="Arial"/>
                <w:b/>
                <w:bCs/>
                <w:sz w:val="22"/>
                <w:szCs w:val="22"/>
              </w:rPr>
              <w:t>R</w:t>
            </w:r>
            <w:r w:rsidR="00451876" w:rsidRPr="0072596A">
              <w:rPr>
                <w:rFonts w:ascii="Arial" w:hAnsi="Arial" w:cs="Arial"/>
                <w:b/>
                <w:bCs/>
                <w:sz w:val="22"/>
                <w:szCs w:val="22"/>
              </w:rPr>
              <w:t>ecommendation</w:t>
            </w:r>
          </w:p>
        </w:tc>
        <w:tc>
          <w:tcPr>
            <w:tcW w:w="2532" w:type="pct"/>
            <w:shd w:val="clear" w:color="auto" w:fill="DEEAF6" w:themeFill="accent1" w:themeFillTint="33"/>
            <w:tcMar>
              <w:top w:w="0" w:type="dxa"/>
              <w:left w:w="108" w:type="dxa"/>
              <w:bottom w:w="0" w:type="dxa"/>
              <w:right w:w="108" w:type="dxa"/>
            </w:tcMar>
            <w:hideMark/>
          </w:tcPr>
          <w:p w14:paraId="0C2253E6" w14:textId="0C84D364" w:rsidR="00AF73E7" w:rsidRPr="0072596A" w:rsidRDefault="00AF73E7" w:rsidP="00DB514B">
            <w:pPr>
              <w:rPr>
                <w:rFonts w:ascii="Arial" w:hAnsi="Arial" w:cs="Arial"/>
                <w:b/>
                <w:bCs/>
                <w:sz w:val="22"/>
                <w:szCs w:val="22"/>
              </w:rPr>
            </w:pPr>
            <w:r w:rsidRPr="0072596A">
              <w:rPr>
                <w:rFonts w:ascii="Arial" w:hAnsi="Arial" w:cs="Arial"/>
                <w:b/>
                <w:bCs/>
                <w:sz w:val="22"/>
                <w:szCs w:val="22"/>
              </w:rPr>
              <w:t xml:space="preserve">Government Response </w:t>
            </w:r>
          </w:p>
        </w:tc>
      </w:tr>
      <w:tr w:rsidR="00005D9E" w:rsidRPr="0072596A" w14:paraId="0B91CEBA" w14:textId="77777777" w:rsidTr="00E33E62">
        <w:trPr>
          <w:trHeight w:val="869"/>
        </w:trPr>
        <w:tc>
          <w:tcPr>
            <w:tcW w:w="296" w:type="pct"/>
          </w:tcPr>
          <w:p w14:paraId="48901A46" w14:textId="26CC03D6" w:rsidR="00005D9E" w:rsidRPr="0072596A" w:rsidRDefault="00141DF4" w:rsidP="00E33E62">
            <w:pPr>
              <w:rPr>
                <w:rFonts w:ascii="Arial" w:hAnsi="Arial" w:cs="Arial"/>
                <w:b/>
                <w:sz w:val="22"/>
                <w:szCs w:val="22"/>
              </w:rPr>
            </w:pPr>
            <w:r w:rsidRPr="0072596A">
              <w:rPr>
                <w:rFonts w:ascii="Arial" w:hAnsi="Arial" w:cs="Arial"/>
                <w:b/>
                <w:sz w:val="22"/>
                <w:szCs w:val="22"/>
              </w:rPr>
              <w:t>1</w:t>
            </w:r>
          </w:p>
        </w:tc>
        <w:tc>
          <w:tcPr>
            <w:tcW w:w="2171" w:type="pct"/>
            <w:tcMar>
              <w:top w:w="0" w:type="dxa"/>
              <w:left w:w="108" w:type="dxa"/>
              <w:bottom w:w="0" w:type="dxa"/>
              <w:right w:w="108" w:type="dxa"/>
            </w:tcMar>
          </w:tcPr>
          <w:p w14:paraId="5B4CCDFD" w14:textId="5EAE51B5" w:rsidR="00005D9E" w:rsidRPr="00663B55" w:rsidRDefault="00663B55" w:rsidP="001C18B3">
            <w:pPr>
              <w:rPr>
                <w:rFonts w:ascii="Arial" w:hAnsi="Arial" w:cs="Arial"/>
                <w:sz w:val="22"/>
                <w:szCs w:val="22"/>
              </w:rPr>
            </w:pPr>
            <w:r>
              <w:rPr>
                <w:rFonts w:ascii="Arial" w:hAnsi="Arial" w:cs="Arial"/>
                <w:sz w:val="22"/>
                <w:szCs w:val="22"/>
              </w:rPr>
              <w:t>T</w:t>
            </w:r>
            <w:r w:rsidRPr="00663B55">
              <w:rPr>
                <w:rFonts w:ascii="Arial" w:hAnsi="Arial" w:cs="Arial"/>
                <w:sz w:val="22"/>
                <w:szCs w:val="22"/>
              </w:rPr>
              <w:t xml:space="preserve">he Panel recommends that the Impact Assessment Agency of Canada </w:t>
            </w:r>
            <w:r>
              <w:rPr>
                <w:rFonts w:ascii="Arial" w:hAnsi="Arial" w:cs="Arial"/>
                <w:sz w:val="22"/>
                <w:szCs w:val="22"/>
              </w:rPr>
              <w:t xml:space="preserve">(the Agency) </w:t>
            </w:r>
            <w:r w:rsidRPr="00663B55">
              <w:rPr>
                <w:rFonts w:ascii="Arial" w:hAnsi="Arial" w:cs="Arial"/>
                <w:sz w:val="22"/>
                <w:szCs w:val="22"/>
              </w:rPr>
              <w:t xml:space="preserve">direct proponents to provide a pre-industrial (historical) baseline in their </w:t>
            </w:r>
            <w:r w:rsidR="009338E4">
              <w:rPr>
                <w:rFonts w:ascii="Arial" w:hAnsi="Arial" w:cs="Arial"/>
                <w:sz w:val="22"/>
                <w:szCs w:val="22"/>
              </w:rPr>
              <w:t>environmental impact assessment (</w:t>
            </w:r>
            <w:r w:rsidRPr="00663B55">
              <w:rPr>
                <w:rFonts w:ascii="Arial" w:hAnsi="Arial" w:cs="Arial"/>
                <w:sz w:val="22"/>
                <w:szCs w:val="22"/>
              </w:rPr>
              <w:t>EIA</w:t>
            </w:r>
            <w:r w:rsidR="009338E4">
              <w:rPr>
                <w:rFonts w:ascii="Arial" w:hAnsi="Arial" w:cs="Arial"/>
                <w:sz w:val="22"/>
                <w:szCs w:val="22"/>
              </w:rPr>
              <w:t>)</w:t>
            </w:r>
            <w:r w:rsidRPr="00663B55">
              <w:rPr>
                <w:rFonts w:ascii="Arial" w:hAnsi="Arial" w:cs="Arial"/>
                <w:sz w:val="22"/>
                <w:szCs w:val="22"/>
              </w:rPr>
              <w:t xml:space="preserve"> report. This should be incorporated into the Tailored Impact Statement Guidelines for future impact assessments. A pre-industrial baseline would have improved </w:t>
            </w:r>
            <w:r w:rsidR="009338E4">
              <w:rPr>
                <w:rFonts w:ascii="Arial" w:hAnsi="Arial" w:cs="Arial"/>
                <w:sz w:val="22"/>
                <w:szCs w:val="22"/>
              </w:rPr>
              <w:t>the Panel’s</w:t>
            </w:r>
            <w:r w:rsidR="009338E4" w:rsidRPr="00663B55">
              <w:rPr>
                <w:rFonts w:ascii="Arial" w:hAnsi="Arial" w:cs="Arial"/>
                <w:sz w:val="22"/>
                <w:szCs w:val="22"/>
              </w:rPr>
              <w:t xml:space="preserve"> </w:t>
            </w:r>
            <w:r w:rsidRPr="00663B55">
              <w:rPr>
                <w:rFonts w:ascii="Arial" w:hAnsi="Arial" w:cs="Arial"/>
                <w:sz w:val="22"/>
                <w:szCs w:val="22"/>
              </w:rPr>
              <w:t>ability to consider the effects of previous activities in an area when assessing cumulative effects.</w:t>
            </w:r>
          </w:p>
        </w:tc>
        <w:tc>
          <w:tcPr>
            <w:tcW w:w="2532" w:type="pct"/>
            <w:tcMar>
              <w:top w:w="0" w:type="dxa"/>
              <w:left w:w="108" w:type="dxa"/>
              <w:bottom w:w="0" w:type="dxa"/>
              <w:right w:w="108" w:type="dxa"/>
            </w:tcMar>
          </w:tcPr>
          <w:p w14:paraId="3B572AA5" w14:textId="7A3C90C6" w:rsidR="00A521F0" w:rsidRDefault="00A521F0" w:rsidP="00E33E62">
            <w:pPr>
              <w:rPr>
                <w:rFonts w:ascii="Arial" w:hAnsi="Arial" w:cs="Arial"/>
                <w:sz w:val="22"/>
                <w:szCs w:val="22"/>
              </w:rPr>
            </w:pPr>
            <w:r>
              <w:rPr>
                <w:rFonts w:ascii="Arial" w:hAnsi="Arial" w:cs="Arial"/>
                <w:sz w:val="22"/>
                <w:szCs w:val="22"/>
              </w:rPr>
              <w:t>The Government of Canada agrees with the intent of this recommendation</w:t>
            </w:r>
            <w:r w:rsidR="00D6510D">
              <w:rPr>
                <w:rFonts w:ascii="Arial" w:hAnsi="Arial" w:cs="Arial"/>
                <w:sz w:val="22"/>
                <w:szCs w:val="22"/>
              </w:rPr>
              <w:t xml:space="preserve"> and </w:t>
            </w:r>
            <w:r w:rsidR="00D6510D" w:rsidRPr="0072596A">
              <w:rPr>
                <w:rFonts w:ascii="Arial" w:hAnsi="Arial" w:cs="Arial"/>
                <w:sz w:val="22"/>
                <w:szCs w:val="22"/>
              </w:rPr>
              <w:t>remains committed to providing pro</w:t>
            </w:r>
            <w:r w:rsidR="00D6510D">
              <w:rPr>
                <w:rFonts w:ascii="Arial" w:hAnsi="Arial" w:cs="Arial"/>
                <w:sz w:val="22"/>
                <w:szCs w:val="22"/>
              </w:rPr>
              <w:t>ponents with clear requirements regarding</w:t>
            </w:r>
            <w:r w:rsidR="00D6510D" w:rsidRPr="0072596A">
              <w:rPr>
                <w:rFonts w:ascii="Arial" w:hAnsi="Arial" w:cs="Arial"/>
                <w:sz w:val="22"/>
                <w:szCs w:val="22"/>
              </w:rPr>
              <w:t xml:space="preserve"> </w:t>
            </w:r>
            <w:r w:rsidR="00D6510D">
              <w:rPr>
                <w:rFonts w:ascii="Arial" w:hAnsi="Arial" w:cs="Arial"/>
                <w:sz w:val="22"/>
                <w:szCs w:val="22"/>
              </w:rPr>
              <w:t>the information and studies required for assessing potential cumulative effects during impact assessments</w:t>
            </w:r>
            <w:r>
              <w:rPr>
                <w:rFonts w:ascii="Arial" w:hAnsi="Arial" w:cs="Arial"/>
                <w:sz w:val="22"/>
                <w:szCs w:val="22"/>
              </w:rPr>
              <w:t xml:space="preserve">. </w:t>
            </w:r>
          </w:p>
          <w:p w14:paraId="2E1333A7" w14:textId="77777777" w:rsidR="00A521F0" w:rsidRDefault="00A521F0" w:rsidP="00E33E62">
            <w:pPr>
              <w:rPr>
                <w:rFonts w:ascii="Arial" w:hAnsi="Arial" w:cs="Arial"/>
                <w:sz w:val="22"/>
                <w:szCs w:val="22"/>
              </w:rPr>
            </w:pPr>
          </w:p>
          <w:p w14:paraId="429CB98F" w14:textId="20E3D7DD" w:rsidR="00005D9E" w:rsidRDefault="00A521F0" w:rsidP="00E33E62">
            <w:pPr>
              <w:rPr>
                <w:rFonts w:ascii="Arial" w:hAnsi="Arial" w:cs="Arial"/>
                <w:sz w:val="22"/>
                <w:szCs w:val="22"/>
              </w:rPr>
            </w:pPr>
            <w:r>
              <w:rPr>
                <w:rFonts w:ascii="Arial" w:hAnsi="Arial" w:cs="Arial"/>
                <w:sz w:val="22"/>
                <w:szCs w:val="22"/>
              </w:rPr>
              <w:t>T</w:t>
            </w:r>
            <w:r w:rsidR="00663B55" w:rsidRPr="00663B55">
              <w:rPr>
                <w:rFonts w:ascii="Arial" w:hAnsi="Arial" w:cs="Arial"/>
                <w:sz w:val="22"/>
                <w:szCs w:val="22"/>
              </w:rPr>
              <w:t xml:space="preserve">he </w:t>
            </w:r>
            <w:r w:rsidR="00663B55" w:rsidRPr="004861AF">
              <w:rPr>
                <w:rFonts w:ascii="Arial" w:hAnsi="Arial" w:cs="Arial"/>
                <w:i/>
                <w:sz w:val="22"/>
                <w:szCs w:val="22"/>
              </w:rPr>
              <w:t>I</w:t>
            </w:r>
            <w:r w:rsidR="00544ED8" w:rsidRPr="004861AF">
              <w:rPr>
                <w:rFonts w:ascii="Arial" w:hAnsi="Arial" w:cs="Arial"/>
                <w:i/>
                <w:sz w:val="22"/>
                <w:szCs w:val="22"/>
              </w:rPr>
              <w:t xml:space="preserve">mpact </w:t>
            </w:r>
            <w:r w:rsidR="00663B55" w:rsidRPr="004861AF">
              <w:rPr>
                <w:rFonts w:ascii="Arial" w:hAnsi="Arial" w:cs="Arial"/>
                <w:i/>
                <w:sz w:val="22"/>
                <w:szCs w:val="22"/>
              </w:rPr>
              <w:t>A</w:t>
            </w:r>
            <w:r w:rsidR="00544ED8" w:rsidRPr="004861AF">
              <w:rPr>
                <w:rFonts w:ascii="Arial" w:hAnsi="Arial" w:cs="Arial"/>
                <w:i/>
                <w:sz w:val="22"/>
                <w:szCs w:val="22"/>
              </w:rPr>
              <w:t xml:space="preserve">ssessment </w:t>
            </w:r>
            <w:r w:rsidR="00663B55" w:rsidRPr="004861AF">
              <w:rPr>
                <w:rFonts w:ascii="Arial" w:hAnsi="Arial" w:cs="Arial"/>
                <w:i/>
                <w:sz w:val="22"/>
                <w:szCs w:val="22"/>
              </w:rPr>
              <w:t>A</w:t>
            </w:r>
            <w:r w:rsidR="00544ED8" w:rsidRPr="004861AF">
              <w:rPr>
                <w:rFonts w:ascii="Arial" w:hAnsi="Arial" w:cs="Arial"/>
                <w:i/>
                <w:sz w:val="22"/>
                <w:szCs w:val="22"/>
              </w:rPr>
              <w:t>ct</w:t>
            </w:r>
            <w:r w:rsidR="00544ED8">
              <w:rPr>
                <w:rFonts w:ascii="Arial" w:hAnsi="Arial" w:cs="Arial"/>
                <w:sz w:val="22"/>
                <w:szCs w:val="22"/>
              </w:rPr>
              <w:t xml:space="preserve"> (IAA)</w:t>
            </w:r>
            <w:r>
              <w:rPr>
                <w:rFonts w:ascii="Arial" w:hAnsi="Arial" w:cs="Arial"/>
                <w:sz w:val="22"/>
                <w:szCs w:val="22"/>
              </w:rPr>
              <w:t xml:space="preserve"> requires all</w:t>
            </w:r>
            <w:r w:rsidR="00663B55" w:rsidRPr="00663B55">
              <w:rPr>
                <w:rFonts w:ascii="Arial" w:hAnsi="Arial" w:cs="Arial"/>
                <w:sz w:val="22"/>
                <w:szCs w:val="22"/>
              </w:rPr>
              <w:t xml:space="preserve"> impact assessment</w:t>
            </w:r>
            <w:r>
              <w:rPr>
                <w:rFonts w:ascii="Arial" w:hAnsi="Arial" w:cs="Arial"/>
                <w:sz w:val="22"/>
                <w:szCs w:val="22"/>
              </w:rPr>
              <w:t>s</w:t>
            </w:r>
            <w:r w:rsidR="00663B55" w:rsidRPr="00663B55">
              <w:rPr>
                <w:rFonts w:ascii="Arial" w:hAnsi="Arial" w:cs="Arial"/>
                <w:sz w:val="22"/>
                <w:szCs w:val="22"/>
              </w:rPr>
              <w:t xml:space="preserve"> </w:t>
            </w:r>
            <w:r>
              <w:rPr>
                <w:rFonts w:ascii="Arial" w:hAnsi="Arial" w:cs="Arial"/>
                <w:sz w:val="22"/>
                <w:szCs w:val="22"/>
              </w:rPr>
              <w:t>to</w:t>
            </w:r>
            <w:r w:rsidRPr="00663B55">
              <w:rPr>
                <w:rFonts w:ascii="Arial" w:hAnsi="Arial" w:cs="Arial"/>
                <w:sz w:val="22"/>
                <w:szCs w:val="22"/>
              </w:rPr>
              <w:t xml:space="preserve"> </w:t>
            </w:r>
            <w:r w:rsidR="00663B55" w:rsidRPr="00663B55">
              <w:rPr>
                <w:rFonts w:ascii="Arial" w:hAnsi="Arial" w:cs="Arial"/>
                <w:sz w:val="22"/>
                <w:szCs w:val="22"/>
              </w:rPr>
              <w:t xml:space="preserve">consider “any cumulative effects that are likely to result from the designated project in combination with other physical activities that have been or will be carried out”. </w:t>
            </w:r>
            <w:r w:rsidR="00F36A4B">
              <w:rPr>
                <w:rFonts w:ascii="Arial" w:hAnsi="Arial" w:cs="Arial"/>
                <w:sz w:val="22"/>
                <w:szCs w:val="22"/>
              </w:rPr>
              <w:t>This can include pre-industrial activities</w:t>
            </w:r>
            <w:r>
              <w:rPr>
                <w:rFonts w:ascii="Arial" w:hAnsi="Arial" w:cs="Arial"/>
                <w:sz w:val="22"/>
                <w:szCs w:val="22"/>
              </w:rPr>
              <w:t>,</w:t>
            </w:r>
            <w:r w:rsidR="00F36A4B">
              <w:rPr>
                <w:rFonts w:ascii="Arial" w:hAnsi="Arial" w:cs="Arial"/>
                <w:sz w:val="22"/>
                <w:szCs w:val="22"/>
              </w:rPr>
              <w:t xml:space="preserve"> where appropriate.</w:t>
            </w:r>
            <w:r w:rsidR="00663B55" w:rsidRPr="00663B55">
              <w:rPr>
                <w:rFonts w:ascii="Arial" w:hAnsi="Arial" w:cs="Arial"/>
                <w:sz w:val="22"/>
                <w:szCs w:val="22"/>
              </w:rPr>
              <w:t xml:space="preserve"> </w:t>
            </w:r>
            <w:r>
              <w:rPr>
                <w:rFonts w:ascii="Arial" w:hAnsi="Arial" w:cs="Arial"/>
                <w:sz w:val="22"/>
                <w:szCs w:val="22"/>
              </w:rPr>
              <w:t>This requirement is reflected in</w:t>
            </w:r>
            <w:r w:rsidR="00F36A4B">
              <w:rPr>
                <w:rFonts w:ascii="Arial" w:hAnsi="Arial" w:cs="Arial"/>
                <w:sz w:val="22"/>
                <w:szCs w:val="22"/>
              </w:rPr>
              <w:t xml:space="preserve"> t</w:t>
            </w:r>
            <w:r w:rsidR="00663B55" w:rsidRPr="00663B55">
              <w:rPr>
                <w:rFonts w:ascii="Arial" w:hAnsi="Arial" w:cs="Arial"/>
                <w:sz w:val="22"/>
                <w:szCs w:val="22"/>
              </w:rPr>
              <w:t>he Tailored Impact Statement Guidelines</w:t>
            </w:r>
            <w:r>
              <w:rPr>
                <w:rFonts w:ascii="Arial" w:hAnsi="Arial" w:cs="Arial"/>
                <w:sz w:val="22"/>
                <w:szCs w:val="22"/>
              </w:rPr>
              <w:t xml:space="preserve"> </w:t>
            </w:r>
            <w:r w:rsidR="00C76ECE">
              <w:rPr>
                <w:rFonts w:ascii="Arial" w:hAnsi="Arial" w:cs="Arial"/>
                <w:sz w:val="22"/>
                <w:szCs w:val="22"/>
              </w:rPr>
              <w:t>(</w:t>
            </w:r>
            <w:r w:rsidR="009338E4">
              <w:rPr>
                <w:rFonts w:ascii="Arial" w:hAnsi="Arial" w:cs="Arial"/>
                <w:sz w:val="22"/>
                <w:szCs w:val="22"/>
              </w:rPr>
              <w:t>TISG</w:t>
            </w:r>
            <w:r w:rsidR="00C76ECE">
              <w:rPr>
                <w:rFonts w:ascii="Arial" w:hAnsi="Arial" w:cs="Arial"/>
                <w:sz w:val="22"/>
                <w:szCs w:val="22"/>
              </w:rPr>
              <w:t xml:space="preserve">) </w:t>
            </w:r>
            <w:r>
              <w:rPr>
                <w:rFonts w:ascii="Arial" w:hAnsi="Arial" w:cs="Arial"/>
                <w:sz w:val="22"/>
                <w:szCs w:val="22"/>
              </w:rPr>
              <w:t>developed for each assessment, which</w:t>
            </w:r>
            <w:r w:rsidR="00663B55" w:rsidRPr="00663B55">
              <w:rPr>
                <w:rFonts w:ascii="Arial" w:hAnsi="Arial" w:cs="Arial"/>
                <w:sz w:val="22"/>
                <w:szCs w:val="22"/>
              </w:rPr>
              <w:t xml:space="preserve"> require proponents to provide an assessment of the cumulative effects of the project with other past, existing and reasonably foreseeable projects and physical activities. </w:t>
            </w:r>
            <w:r>
              <w:rPr>
                <w:rFonts w:ascii="Arial" w:hAnsi="Arial" w:cs="Arial"/>
                <w:sz w:val="22"/>
                <w:szCs w:val="22"/>
              </w:rPr>
              <w:t xml:space="preserve">In developing </w:t>
            </w:r>
            <w:r w:rsidR="00577341">
              <w:rPr>
                <w:rFonts w:ascii="Arial" w:hAnsi="Arial" w:cs="Arial"/>
                <w:sz w:val="22"/>
                <w:szCs w:val="22"/>
              </w:rPr>
              <w:t xml:space="preserve">project-specific </w:t>
            </w:r>
            <w:r w:rsidR="009338E4">
              <w:rPr>
                <w:rFonts w:ascii="Arial" w:hAnsi="Arial" w:cs="Arial"/>
                <w:sz w:val="22"/>
                <w:szCs w:val="22"/>
              </w:rPr>
              <w:t>TISG</w:t>
            </w:r>
            <w:r>
              <w:rPr>
                <w:rFonts w:ascii="Arial" w:hAnsi="Arial" w:cs="Arial"/>
                <w:sz w:val="22"/>
                <w:szCs w:val="22"/>
              </w:rPr>
              <w:t>, t</w:t>
            </w:r>
            <w:r w:rsidR="00663B55" w:rsidRPr="00663B55">
              <w:rPr>
                <w:rFonts w:ascii="Arial" w:hAnsi="Arial" w:cs="Arial"/>
                <w:sz w:val="22"/>
                <w:szCs w:val="22"/>
              </w:rPr>
              <w:t xml:space="preserve">he Agency will consider </w:t>
            </w:r>
            <w:r w:rsidR="00663B55" w:rsidRPr="009935FB">
              <w:rPr>
                <w:rFonts w:ascii="Arial" w:hAnsi="Arial" w:cs="Arial"/>
                <w:sz w:val="22"/>
                <w:szCs w:val="22"/>
              </w:rPr>
              <w:t>whether it is appropriate</w:t>
            </w:r>
            <w:r w:rsidR="00663B55" w:rsidRPr="00663B55">
              <w:rPr>
                <w:rFonts w:ascii="Arial" w:hAnsi="Arial" w:cs="Arial"/>
                <w:sz w:val="22"/>
                <w:szCs w:val="22"/>
              </w:rPr>
              <w:t xml:space="preserve"> to</w:t>
            </w:r>
            <w:r w:rsidR="009935FB">
              <w:rPr>
                <w:rFonts w:ascii="Arial" w:hAnsi="Arial" w:cs="Arial"/>
                <w:sz w:val="22"/>
                <w:szCs w:val="22"/>
              </w:rPr>
              <w:t xml:space="preserve"> </w:t>
            </w:r>
            <w:r w:rsidR="00663B55" w:rsidRPr="00663B55">
              <w:rPr>
                <w:rFonts w:ascii="Arial" w:hAnsi="Arial" w:cs="Arial"/>
                <w:sz w:val="22"/>
                <w:szCs w:val="22"/>
              </w:rPr>
              <w:t>direct proponents to provide a pre-industrial (historical) baseline in the Impact Statement.</w:t>
            </w:r>
            <w:r w:rsidR="007F77F4">
              <w:rPr>
                <w:rFonts w:ascii="Arial" w:hAnsi="Arial" w:cs="Arial"/>
                <w:sz w:val="22"/>
                <w:szCs w:val="22"/>
              </w:rPr>
              <w:t xml:space="preserve"> </w:t>
            </w:r>
          </w:p>
          <w:p w14:paraId="5C859429" w14:textId="14635ABD" w:rsidR="00F36A4B" w:rsidRPr="0072596A" w:rsidRDefault="00F36A4B" w:rsidP="00E33E62">
            <w:pPr>
              <w:rPr>
                <w:rFonts w:ascii="Arial" w:hAnsi="Arial" w:cs="Arial"/>
                <w:sz w:val="22"/>
                <w:szCs w:val="22"/>
              </w:rPr>
            </w:pPr>
          </w:p>
        </w:tc>
      </w:tr>
      <w:tr w:rsidR="00005D9E" w:rsidRPr="0072596A" w14:paraId="326A15E5" w14:textId="77777777" w:rsidTr="00E33E62">
        <w:tc>
          <w:tcPr>
            <w:tcW w:w="296" w:type="pct"/>
          </w:tcPr>
          <w:p w14:paraId="73B46346" w14:textId="4A6E25D6" w:rsidR="00005D9E" w:rsidRPr="0072596A" w:rsidRDefault="00141DF4" w:rsidP="00E33E62">
            <w:pPr>
              <w:rPr>
                <w:rFonts w:ascii="Arial" w:hAnsi="Arial" w:cs="Arial"/>
                <w:b/>
                <w:sz w:val="22"/>
                <w:szCs w:val="22"/>
              </w:rPr>
            </w:pPr>
            <w:r w:rsidRPr="0072596A">
              <w:rPr>
                <w:rFonts w:ascii="Arial" w:hAnsi="Arial" w:cs="Arial"/>
                <w:b/>
                <w:sz w:val="22"/>
                <w:szCs w:val="22"/>
              </w:rPr>
              <w:t>2</w:t>
            </w:r>
          </w:p>
        </w:tc>
        <w:tc>
          <w:tcPr>
            <w:tcW w:w="2171" w:type="pct"/>
            <w:tcMar>
              <w:top w:w="0" w:type="dxa"/>
              <w:left w:w="108" w:type="dxa"/>
              <w:bottom w:w="0" w:type="dxa"/>
              <w:right w:w="108" w:type="dxa"/>
            </w:tcMar>
          </w:tcPr>
          <w:p w14:paraId="6A516CFD" w14:textId="5FCCFD96" w:rsidR="00005D9E" w:rsidRPr="0072596A" w:rsidRDefault="0030159E" w:rsidP="001C18B3">
            <w:pPr>
              <w:rPr>
                <w:rFonts w:ascii="Arial" w:hAnsi="Arial" w:cs="Arial"/>
                <w:sz w:val="22"/>
                <w:szCs w:val="22"/>
              </w:rPr>
            </w:pPr>
            <w:r>
              <w:rPr>
                <w:rFonts w:ascii="Arial" w:hAnsi="Arial" w:cs="Arial"/>
                <w:sz w:val="22"/>
                <w:szCs w:val="22"/>
              </w:rPr>
              <w:t>T</w:t>
            </w:r>
            <w:r w:rsidRPr="0030159E">
              <w:rPr>
                <w:rFonts w:ascii="Arial" w:hAnsi="Arial" w:cs="Arial"/>
                <w:sz w:val="22"/>
                <w:szCs w:val="22"/>
              </w:rPr>
              <w:t>he Panel recommends that the Impact Assessment Agency of Canada and the Alberta Energy Regulator consider modifying their EIA requirements to require proponents provide a consolidated impact assessment that incorporates all project modifications and information updates into a single package prior to public hearings and decisions by regulators and responsible authorities. A number of participants reported that the format of Benga’s application information was confusing because information was spread over an original application package submitted in 2016 and 12 addenda submitted between 2017 and 2020. In these addenda, Benga updated or revised some information presented in the original application package.</w:t>
            </w:r>
          </w:p>
        </w:tc>
        <w:tc>
          <w:tcPr>
            <w:tcW w:w="2532" w:type="pct"/>
            <w:tcMar>
              <w:top w:w="0" w:type="dxa"/>
              <w:left w:w="108" w:type="dxa"/>
              <w:bottom w:w="0" w:type="dxa"/>
              <w:right w:w="108" w:type="dxa"/>
            </w:tcMar>
          </w:tcPr>
          <w:p w14:paraId="0D24DACD" w14:textId="025B3FC1" w:rsidR="00A521F0" w:rsidRDefault="00A521F0" w:rsidP="00E33E62">
            <w:pPr>
              <w:rPr>
                <w:rFonts w:ascii="Arial" w:hAnsi="Arial" w:cs="Arial"/>
                <w:sz w:val="22"/>
                <w:szCs w:val="22"/>
              </w:rPr>
            </w:pPr>
            <w:r>
              <w:rPr>
                <w:rFonts w:ascii="Arial" w:hAnsi="Arial" w:cs="Arial"/>
                <w:sz w:val="22"/>
                <w:szCs w:val="22"/>
              </w:rPr>
              <w:t>The Government of Canada agrees with the intent of this recommendation. The Government of Canada supports an impact assessment process that is open and transparent</w:t>
            </w:r>
            <w:r w:rsidR="00644344">
              <w:rPr>
                <w:rFonts w:ascii="Arial" w:hAnsi="Arial" w:cs="Arial"/>
                <w:sz w:val="22"/>
                <w:szCs w:val="22"/>
              </w:rPr>
              <w:t xml:space="preserve"> and t</w:t>
            </w:r>
            <w:r>
              <w:rPr>
                <w:rFonts w:ascii="Arial" w:hAnsi="Arial" w:cs="Arial"/>
                <w:sz w:val="22"/>
                <w:szCs w:val="22"/>
              </w:rPr>
              <w:t xml:space="preserve">he Canadian Impact Assessment Registry Internet Site is intended to facilitate convenient public access to records associated with impact assessments. </w:t>
            </w:r>
          </w:p>
          <w:p w14:paraId="0245D444" w14:textId="77777777" w:rsidR="00A521F0" w:rsidRDefault="00A521F0" w:rsidP="00E33E62">
            <w:pPr>
              <w:rPr>
                <w:rFonts w:ascii="Arial" w:hAnsi="Arial" w:cs="Arial"/>
                <w:sz w:val="22"/>
                <w:szCs w:val="22"/>
              </w:rPr>
            </w:pPr>
          </w:p>
          <w:p w14:paraId="1A11B5E2" w14:textId="3BD13ACA" w:rsidR="00A521F0" w:rsidRDefault="00A521F0" w:rsidP="00E33E62">
            <w:pPr>
              <w:rPr>
                <w:rFonts w:ascii="Arial" w:hAnsi="Arial" w:cs="Arial"/>
                <w:sz w:val="22"/>
                <w:szCs w:val="22"/>
              </w:rPr>
            </w:pPr>
            <w:r>
              <w:rPr>
                <w:rFonts w:ascii="Arial" w:hAnsi="Arial" w:cs="Arial"/>
                <w:sz w:val="22"/>
                <w:szCs w:val="22"/>
              </w:rPr>
              <w:t>T</w:t>
            </w:r>
            <w:r w:rsidR="00E72609" w:rsidRPr="00E72609">
              <w:rPr>
                <w:rFonts w:ascii="Arial" w:hAnsi="Arial" w:cs="Arial"/>
                <w:sz w:val="22"/>
                <w:szCs w:val="22"/>
              </w:rPr>
              <w:t xml:space="preserve">he </w:t>
            </w:r>
            <w:r w:rsidR="00544ED8">
              <w:rPr>
                <w:rFonts w:ascii="Arial" w:hAnsi="Arial" w:cs="Arial"/>
                <w:sz w:val="22"/>
                <w:szCs w:val="22"/>
              </w:rPr>
              <w:t>IAA</w:t>
            </w:r>
            <w:r>
              <w:rPr>
                <w:rFonts w:ascii="Arial" w:hAnsi="Arial" w:cs="Arial"/>
                <w:sz w:val="22"/>
                <w:szCs w:val="22"/>
              </w:rPr>
              <w:t xml:space="preserve"> requires</w:t>
            </w:r>
            <w:r w:rsidR="00E72609" w:rsidRPr="00E72609">
              <w:rPr>
                <w:rFonts w:ascii="Arial" w:hAnsi="Arial" w:cs="Arial"/>
                <w:sz w:val="22"/>
                <w:szCs w:val="22"/>
              </w:rPr>
              <w:t xml:space="preserve"> proponent</w:t>
            </w:r>
            <w:r>
              <w:rPr>
                <w:rFonts w:ascii="Arial" w:hAnsi="Arial" w:cs="Arial"/>
                <w:sz w:val="22"/>
                <w:szCs w:val="22"/>
              </w:rPr>
              <w:t>s</w:t>
            </w:r>
            <w:r w:rsidR="00E72609" w:rsidRPr="00E72609">
              <w:rPr>
                <w:rFonts w:ascii="Arial" w:hAnsi="Arial" w:cs="Arial"/>
                <w:sz w:val="22"/>
                <w:szCs w:val="22"/>
              </w:rPr>
              <w:t xml:space="preserve"> to submit an Impact Statement</w:t>
            </w:r>
            <w:r>
              <w:rPr>
                <w:rFonts w:ascii="Arial" w:hAnsi="Arial" w:cs="Arial"/>
                <w:sz w:val="22"/>
                <w:szCs w:val="22"/>
              </w:rPr>
              <w:t xml:space="preserve"> that</w:t>
            </w:r>
            <w:r w:rsidR="00E72609" w:rsidRPr="00E72609">
              <w:rPr>
                <w:rFonts w:ascii="Arial" w:hAnsi="Arial" w:cs="Arial"/>
                <w:sz w:val="22"/>
                <w:szCs w:val="22"/>
              </w:rPr>
              <w:t xml:space="preserve"> contains all </w:t>
            </w:r>
            <w:r>
              <w:rPr>
                <w:rFonts w:ascii="Arial" w:hAnsi="Arial" w:cs="Arial"/>
                <w:sz w:val="22"/>
                <w:szCs w:val="22"/>
              </w:rPr>
              <w:t xml:space="preserve">the </w:t>
            </w:r>
            <w:r w:rsidR="00E72609" w:rsidRPr="00E72609">
              <w:rPr>
                <w:rFonts w:ascii="Arial" w:hAnsi="Arial" w:cs="Arial"/>
                <w:sz w:val="22"/>
                <w:szCs w:val="22"/>
              </w:rPr>
              <w:t xml:space="preserve">required information and studies as detailed in the </w:t>
            </w:r>
            <w:r w:rsidR="00D6510D">
              <w:rPr>
                <w:rFonts w:ascii="Arial" w:hAnsi="Arial" w:cs="Arial"/>
                <w:sz w:val="22"/>
                <w:szCs w:val="22"/>
              </w:rPr>
              <w:t>TISG</w:t>
            </w:r>
            <w:r w:rsidR="00E72609" w:rsidRPr="00E72609">
              <w:rPr>
                <w:rFonts w:ascii="Arial" w:hAnsi="Arial" w:cs="Arial"/>
                <w:sz w:val="22"/>
                <w:szCs w:val="22"/>
              </w:rPr>
              <w:t xml:space="preserve">. </w:t>
            </w:r>
            <w:r w:rsidR="00544ED8">
              <w:rPr>
                <w:rFonts w:ascii="Arial" w:hAnsi="Arial" w:cs="Arial"/>
                <w:sz w:val="22"/>
                <w:szCs w:val="22"/>
              </w:rPr>
              <w:t>The Agency expects that proponent</w:t>
            </w:r>
            <w:r w:rsidR="00D80961">
              <w:rPr>
                <w:rFonts w:ascii="Arial" w:hAnsi="Arial" w:cs="Arial"/>
                <w:sz w:val="22"/>
                <w:szCs w:val="22"/>
              </w:rPr>
              <w:t>s</w:t>
            </w:r>
            <w:r w:rsidR="00544ED8">
              <w:rPr>
                <w:rFonts w:ascii="Arial" w:hAnsi="Arial" w:cs="Arial"/>
                <w:sz w:val="22"/>
                <w:szCs w:val="22"/>
              </w:rPr>
              <w:t xml:space="preserve"> will provide the information to support their Impact Statement in a consolidated package.</w:t>
            </w:r>
            <w:r w:rsidR="00E72609" w:rsidRPr="00E72609">
              <w:rPr>
                <w:rFonts w:ascii="Arial" w:hAnsi="Arial" w:cs="Arial"/>
                <w:sz w:val="22"/>
                <w:szCs w:val="22"/>
              </w:rPr>
              <w:t xml:space="preserve"> </w:t>
            </w:r>
            <w:r>
              <w:rPr>
                <w:rFonts w:ascii="Arial" w:hAnsi="Arial" w:cs="Arial"/>
                <w:sz w:val="22"/>
                <w:szCs w:val="22"/>
              </w:rPr>
              <w:t>I</w:t>
            </w:r>
            <w:r w:rsidR="00E72609" w:rsidRPr="00E72609">
              <w:rPr>
                <w:rFonts w:ascii="Arial" w:hAnsi="Arial" w:cs="Arial"/>
                <w:sz w:val="22"/>
                <w:szCs w:val="22"/>
              </w:rPr>
              <w:t xml:space="preserve">f </w:t>
            </w:r>
            <w:r>
              <w:rPr>
                <w:rFonts w:ascii="Arial" w:hAnsi="Arial" w:cs="Arial"/>
                <w:sz w:val="22"/>
                <w:szCs w:val="22"/>
              </w:rPr>
              <w:t>an</w:t>
            </w:r>
            <w:r w:rsidRPr="00E72609">
              <w:rPr>
                <w:rFonts w:ascii="Arial" w:hAnsi="Arial" w:cs="Arial"/>
                <w:sz w:val="22"/>
                <w:szCs w:val="22"/>
              </w:rPr>
              <w:t xml:space="preserve"> </w:t>
            </w:r>
            <w:r w:rsidR="00E72609" w:rsidRPr="00E72609">
              <w:rPr>
                <w:rFonts w:ascii="Arial" w:hAnsi="Arial" w:cs="Arial"/>
                <w:sz w:val="22"/>
                <w:szCs w:val="22"/>
              </w:rPr>
              <w:t xml:space="preserve">Impact Statement </w:t>
            </w:r>
            <w:r w:rsidR="00577341">
              <w:rPr>
                <w:rFonts w:ascii="Arial" w:hAnsi="Arial" w:cs="Arial"/>
                <w:sz w:val="22"/>
                <w:szCs w:val="22"/>
              </w:rPr>
              <w:t>has deficiencies</w:t>
            </w:r>
            <w:r w:rsidR="00E72609" w:rsidRPr="00E72609">
              <w:rPr>
                <w:rFonts w:ascii="Arial" w:hAnsi="Arial" w:cs="Arial"/>
                <w:sz w:val="22"/>
                <w:szCs w:val="22"/>
              </w:rPr>
              <w:t>, the Agency</w:t>
            </w:r>
            <w:r w:rsidR="00143AA6">
              <w:rPr>
                <w:rFonts w:ascii="Arial" w:hAnsi="Arial" w:cs="Arial"/>
                <w:sz w:val="22"/>
                <w:szCs w:val="22"/>
              </w:rPr>
              <w:t xml:space="preserve"> </w:t>
            </w:r>
            <w:r>
              <w:rPr>
                <w:rFonts w:ascii="Arial" w:hAnsi="Arial" w:cs="Arial"/>
                <w:sz w:val="22"/>
                <w:szCs w:val="22"/>
              </w:rPr>
              <w:t>will</w:t>
            </w:r>
            <w:r w:rsidR="00E72609" w:rsidRPr="00E72609">
              <w:rPr>
                <w:rFonts w:ascii="Arial" w:hAnsi="Arial" w:cs="Arial"/>
                <w:sz w:val="22"/>
                <w:szCs w:val="22"/>
              </w:rPr>
              <w:t xml:space="preserve"> require the proponent to provide the missing information or revisions. </w:t>
            </w:r>
            <w:r>
              <w:rPr>
                <w:rFonts w:ascii="Arial" w:hAnsi="Arial" w:cs="Arial"/>
                <w:sz w:val="22"/>
                <w:szCs w:val="22"/>
              </w:rPr>
              <w:t>While t</w:t>
            </w:r>
            <w:r w:rsidR="00544ED8">
              <w:rPr>
                <w:rFonts w:ascii="Arial" w:hAnsi="Arial" w:cs="Arial"/>
                <w:sz w:val="22"/>
                <w:szCs w:val="22"/>
              </w:rPr>
              <w:t xml:space="preserve">his information would be submitted separately to the Agency, </w:t>
            </w:r>
            <w:r>
              <w:rPr>
                <w:rFonts w:ascii="Arial" w:hAnsi="Arial" w:cs="Arial"/>
                <w:sz w:val="22"/>
                <w:szCs w:val="22"/>
              </w:rPr>
              <w:t xml:space="preserve">it </w:t>
            </w:r>
            <w:r w:rsidR="00544ED8">
              <w:rPr>
                <w:rFonts w:ascii="Arial" w:hAnsi="Arial" w:cs="Arial"/>
                <w:sz w:val="22"/>
                <w:szCs w:val="22"/>
              </w:rPr>
              <w:t xml:space="preserve">will appear on the Impact Assessment Registry as a distinct record that is publicly accessible. </w:t>
            </w:r>
          </w:p>
          <w:p w14:paraId="3507B1B0" w14:textId="77777777" w:rsidR="00A521F0" w:rsidRDefault="00A521F0" w:rsidP="00E33E62">
            <w:pPr>
              <w:rPr>
                <w:rFonts w:ascii="Arial" w:hAnsi="Arial" w:cs="Arial"/>
                <w:sz w:val="22"/>
                <w:szCs w:val="22"/>
              </w:rPr>
            </w:pPr>
          </w:p>
          <w:p w14:paraId="7EB5D68A" w14:textId="3C593C2B" w:rsidR="00E72609" w:rsidRPr="00E72609" w:rsidRDefault="00A521F0" w:rsidP="00E33E62">
            <w:pPr>
              <w:rPr>
                <w:rFonts w:ascii="Arial" w:hAnsi="Arial" w:cs="Arial"/>
                <w:sz w:val="22"/>
                <w:szCs w:val="22"/>
              </w:rPr>
            </w:pPr>
            <w:r>
              <w:rPr>
                <w:rFonts w:ascii="Arial" w:hAnsi="Arial" w:cs="Arial"/>
                <w:sz w:val="22"/>
                <w:szCs w:val="22"/>
              </w:rPr>
              <w:t>In addition,</w:t>
            </w:r>
            <w:r w:rsidR="00644344">
              <w:rPr>
                <w:rFonts w:ascii="Arial" w:hAnsi="Arial" w:cs="Arial"/>
                <w:sz w:val="22"/>
                <w:szCs w:val="22"/>
              </w:rPr>
              <w:t xml:space="preserve"> when necessary,</w:t>
            </w:r>
            <w:r>
              <w:rPr>
                <w:rFonts w:ascii="Arial" w:hAnsi="Arial" w:cs="Arial"/>
                <w:sz w:val="22"/>
                <w:szCs w:val="22"/>
              </w:rPr>
              <w:t xml:space="preserve"> in order to assist the public in finding key information associated with an </w:t>
            </w:r>
            <w:r w:rsidR="00644344">
              <w:rPr>
                <w:rFonts w:ascii="Arial" w:hAnsi="Arial" w:cs="Arial"/>
                <w:sz w:val="22"/>
                <w:szCs w:val="22"/>
              </w:rPr>
              <w:t xml:space="preserve">impact assessment, the Agency commits to developing a resource document with links to key documents and making that document readily available on the Impact Assessment Registry. </w:t>
            </w:r>
          </w:p>
          <w:p w14:paraId="27383586" w14:textId="1A496287" w:rsidR="00F36A4B" w:rsidRPr="0072596A" w:rsidRDefault="00F36A4B" w:rsidP="00E33E62">
            <w:pPr>
              <w:rPr>
                <w:rFonts w:ascii="Arial" w:hAnsi="Arial" w:cs="Arial"/>
                <w:sz w:val="22"/>
                <w:szCs w:val="22"/>
              </w:rPr>
            </w:pPr>
          </w:p>
        </w:tc>
      </w:tr>
      <w:tr w:rsidR="00005D9E" w:rsidRPr="0072596A" w14:paraId="4F0CE036" w14:textId="77777777" w:rsidTr="00E33E62">
        <w:tc>
          <w:tcPr>
            <w:tcW w:w="296" w:type="pct"/>
          </w:tcPr>
          <w:p w14:paraId="2AD6BF38" w14:textId="6933549D" w:rsidR="00005D9E" w:rsidRPr="0072596A" w:rsidRDefault="00141DF4" w:rsidP="00E33E62">
            <w:pPr>
              <w:rPr>
                <w:rFonts w:ascii="Arial" w:hAnsi="Arial" w:cs="Arial"/>
                <w:b/>
                <w:sz w:val="22"/>
                <w:szCs w:val="22"/>
              </w:rPr>
            </w:pPr>
            <w:r w:rsidRPr="0072596A">
              <w:rPr>
                <w:rFonts w:ascii="Arial" w:hAnsi="Arial" w:cs="Arial"/>
                <w:b/>
                <w:sz w:val="22"/>
                <w:szCs w:val="22"/>
              </w:rPr>
              <w:t>3</w:t>
            </w:r>
          </w:p>
        </w:tc>
        <w:tc>
          <w:tcPr>
            <w:tcW w:w="2171" w:type="pct"/>
            <w:tcMar>
              <w:top w:w="0" w:type="dxa"/>
              <w:left w:w="108" w:type="dxa"/>
              <w:bottom w:w="0" w:type="dxa"/>
              <w:right w:w="108" w:type="dxa"/>
            </w:tcMar>
          </w:tcPr>
          <w:p w14:paraId="0B7296B2" w14:textId="7CB21288" w:rsidR="00005D9E" w:rsidRPr="0072596A" w:rsidRDefault="00E72609" w:rsidP="00E33E62">
            <w:pPr>
              <w:rPr>
                <w:rFonts w:ascii="Arial" w:hAnsi="Arial" w:cs="Arial"/>
                <w:sz w:val="22"/>
                <w:szCs w:val="22"/>
              </w:rPr>
            </w:pPr>
            <w:r>
              <w:rPr>
                <w:rFonts w:ascii="Arial" w:hAnsi="Arial" w:cs="Arial"/>
                <w:sz w:val="22"/>
                <w:szCs w:val="22"/>
              </w:rPr>
              <w:t>T</w:t>
            </w:r>
            <w:r w:rsidRPr="00E72609">
              <w:rPr>
                <w:rFonts w:ascii="Arial" w:hAnsi="Arial" w:cs="Arial"/>
                <w:sz w:val="22"/>
                <w:szCs w:val="22"/>
              </w:rPr>
              <w:t xml:space="preserve">he Panel recommends that the Government of Canada finalize and implement </w:t>
            </w:r>
            <w:r w:rsidRPr="004861AF">
              <w:rPr>
                <w:rFonts w:ascii="Arial" w:hAnsi="Arial" w:cs="Arial"/>
                <w:i/>
                <w:sz w:val="22"/>
                <w:szCs w:val="22"/>
              </w:rPr>
              <w:t>Coal Mining Effluent Regulations</w:t>
            </w:r>
            <w:r w:rsidRPr="00E72609">
              <w:rPr>
                <w:rFonts w:ascii="Arial" w:hAnsi="Arial" w:cs="Arial"/>
                <w:sz w:val="22"/>
                <w:szCs w:val="22"/>
              </w:rPr>
              <w:t xml:space="preserve"> under the </w:t>
            </w:r>
            <w:r w:rsidRPr="004861AF">
              <w:rPr>
                <w:rFonts w:ascii="Arial" w:hAnsi="Arial" w:cs="Arial"/>
                <w:i/>
                <w:sz w:val="22"/>
                <w:szCs w:val="22"/>
              </w:rPr>
              <w:t>Fisheries Act</w:t>
            </w:r>
            <w:r w:rsidRPr="00E72609">
              <w:rPr>
                <w:rFonts w:ascii="Arial" w:hAnsi="Arial" w:cs="Arial"/>
                <w:sz w:val="22"/>
                <w:szCs w:val="22"/>
              </w:rPr>
              <w:t xml:space="preserve"> as soon as possible. The Panel recognizes that there was uncertainty about whether the project as proposed could satisfy the requirements of these regulations. The Panel also recognized that the proponent did not have clear regulated effluent limits (such as those proposed in the draft regulation) to incorporate into its project design and planning. Finalizing the </w:t>
            </w:r>
            <w:r w:rsidRPr="004861AF">
              <w:rPr>
                <w:rFonts w:ascii="Arial" w:hAnsi="Arial" w:cs="Arial"/>
                <w:i/>
                <w:sz w:val="22"/>
                <w:szCs w:val="22"/>
              </w:rPr>
              <w:t>Coal Mining Effluent Regulations</w:t>
            </w:r>
            <w:r w:rsidRPr="00E72609">
              <w:rPr>
                <w:rFonts w:ascii="Arial" w:hAnsi="Arial" w:cs="Arial"/>
                <w:sz w:val="22"/>
                <w:szCs w:val="22"/>
              </w:rPr>
              <w:t xml:space="preserve"> would help proponents and decision makers evaluate the acceptability of proposed discharges from coal mines.</w:t>
            </w:r>
          </w:p>
        </w:tc>
        <w:tc>
          <w:tcPr>
            <w:tcW w:w="2532" w:type="pct"/>
            <w:tcMar>
              <w:top w:w="0" w:type="dxa"/>
              <w:left w:w="108" w:type="dxa"/>
              <w:bottom w:w="0" w:type="dxa"/>
              <w:right w:w="108" w:type="dxa"/>
            </w:tcMar>
          </w:tcPr>
          <w:p w14:paraId="0013B900" w14:textId="38135D14" w:rsidR="00872376" w:rsidRDefault="00872376" w:rsidP="00E33E62">
            <w:pPr>
              <w:spacing w:line="252" w:lineRule="auto"/>
              <w:rPr>
                <w:rFonts w:ascii="Arial" w:hAnsi="Arial" w:cs="Arial"/>
                <w:sz w:val="22"/>
                <w:szCs w:val="22"/>
              </w:rPr>
            </w:pPr>
            <w:r>
              <w:rPr>
                <w:rFonts w:ascii="Arial" w:hAnsi="Arial" w:cs="Arial"/>
                <w:sz w:val="22"/>
                <w:szCs w:val="22"/>
              </w:rPr>
              <w:t>The Government of Canada agrees with this recommendation.</w:t>
            </w:r>
          </w:p>
          <w:p w14:paraId="42FB283E" w14:textId="77777777" w:rsidR="00872376" w:rsidRDefault="00872376" w:rsidP="00E33E62">
            <w:pPr>
              <w:spacing w:line="252" w:lineRule="auto"/>
              <w:rPr>
                <w:rFonts w:ascii="Arial" w:hAnsi="Arial" w:cs="Arial"/>
                <w:sz w:val="22"/>
                <w:szCs w:val="22"/>
              </w:rPr>
            </w:pPr>
          </w:p>
          <w:p w14:paraId="446433A9" w14:textId="003ED37A" w:rsidR="00872376" w:rsidRPr="00872376" w:rsidRDefault="001C18B3" w:rsidP="00E33E62">
            <w:pPr>
              <w:spacing w:line="252" w:lineRule="auto"/>
              <w:rPr>
                <w:rFonts w:ascii="Arial" w:hAnsi="Arial" w:cs="Arial"/>
                <w:sz w:val="22"/>
                <w:szCs w:val="22"/>
              </w:rPr>
            </w:pPr>
            <w:r>
              <w:rPr>
                <w:rFonts w:ascii="Arial" w:hAnsi="Arial" w:cs="Arial"/>
                <w:sz w:val="22"/>
                <w:szCs w:val="22"/>
              </w:rPr>
              <w:t>Environment and Climate Change Canada (</w:t>
            </w:r>
            <w:r w:rsidR="00872376" w:rsidRPr="00872376">
              <w:rPr>
                <w:rFonts w:ascii="Arial" w:hAnsi="Arial" w:cs="Arial"/>
                <w:sz w:val="22"/>
                <w:szCs w:val="22"/>
              </w:rPr>
              <w:t>ECCC</w:t>
            </w:r>
            <w:r>
              <w:rPr>
                <w:rFonts w:ascii="Arial" w:hAnsi="Arial" w:cs="Arial"/>
                <w:sz w:val="22"/>
                <w:szCs w:val="22"/>
              </w:rPr>
              <w:t>)</w:t>
            </w:r>
            <w:r w:rsidR="00872376" w:rsidRPr="00872376">
              <w:rPr>
                <w:rFonts w:ascii="Arial" w:hAnsi="Arial" w:cs="Arial"/>
                <w:sz w:val="22"/>
                <w:szCs w:val="22"/>
              </w:rPr>
              <w:t xml:space="preserve"> plans to release a consultation paper outlining the proposed approach for the </w:t>
            </w:r>
            <w:r w:rsidR="00872376" w:rsidRPr="004861AF">
              <w:rPr>
                <w:rFonts w:ascii="Arial" w:hAnsi="Arial" w:cs="Arial"/>
                <w:i/>
                <w:sz w:val="22"/>
                <w:szCs w:val="22"/>
              </w:rPr>
              <w:t>Coal Mining Effluent Regulations</w:t>
            </w:r>
            <w:r w:rsidR="00872376" w:rsidRPr="00872376">
              <w:rPr>
                <w:rFonts w:ascii="Arial" w:hAnsi="Arial" w:cs="Arial"/>
                <w:sz w:val="22"/>
                <w:szCs w:val="22"/>
              </w:rPr>
              <w:t xml:space="preserve"> </w:t>
            </w:r>
            <w:r>
              <w:rPr>
                <w:rFonts w:ascii="Arial" w:hAnsi="Arial" w:cs="Arial"/>
                <w:sz w:val="22"/>
                <w:szCs w:val="22"/>
              </w:rPr>
              <w:t xml:space="preserve">(the Regulations) </w:t>
            </w:r>
            <w:r w:rsidR="00872376" w:rsidRPr="00872376">
              <w:rPr>
                <w:rFonts w:ascii="Arial" w:hAnsi="Arial" w:cs="Arial"/>
                <w:sz w:val="22"/>
                <w:szCs w:val="22"/>
              </w:rPr>
              <w:t xml:space="preserve">under the </w:t>
            </w:r>
            <w:r w:rsidR="00872376" w:rsidRPr="00D70C5F">
              <w:rPr>
                <w:rFonts w:ascii="Arial" w:hAnsi="Arial" w:cs="Arial"/>
                <w:i/>
                <w:sz w:val="22"/>
                <w:szCs w:val="22"/>
              </w:rPr>
              <w:t>Fisheries Act</w:t>
            </w:r>
            <w:r w:rsidR="00872376" w:rsidRPr="00872376">
              <w:rPr>
                <w:rFonts w:ascii="Arial" w:hAnsi="Arial" w:cs="Arial"/>
                <w:sz w:val="22"/>
                <w:szCs w:val="22"/>
              </w:rPr>
              <w:t xml:space="preserve"> in fall 2021. The proposed approach for the Regulations will include the establishment of effluent quality standards for deleterious substances of concern including selenium, nitrate and suspended solids. In addition to an effluent quality standard, ECCC will consult on a proposal to include in the Regulations a requirement to provide a status report on the selenium effluent quality standard </w:t>
            </w:r>
            <w:r>
              <w:rPr>
                <w:rFonts w:ascii="Arial" w:hAnsi="Arial" w:cs="Arial"/>
                <w:sz w:val="22"/>
                <w:szCs w:val="22"/>
              </w:rPr>
              <w:t>five</w:t>
            </w:r>
            <w:r w:rsidRPr="00872376">
              <w:rPr>
                <w:rFonts w:ascii="Arial" w:hAnsi="Arial" w:cs="Arial"/>
                <w:sz w:val="22"/>
                <w:szCs w:val="22"/>
              </w:rPr>
              <w:t xml:space="preserve"> </w:t>
            </w:r>
            <w:r w:rsidR="00872376" w:rsidRPr="00872376">
              <w:rPr>
                <w:rFonts w:ascii="Arial" w:hAnsi="Arial" w:cs="Arial"/>
                <w:sz w:val="22"/>
                <w:szCs w:val="22"/>
              </w:rPr>
              <w:t xml:space="preserve">years after promulgation, and a requirement for a review of the Regulations as a whole </w:t>
            </w:r>
            <w:r>
              <w:rPr>
                <w:rFonts w:ascii="Arial" w:hAnsi="Arial" w:cs="Arial"/>
                <w:sz w:val="22"/>
                <w:szCs w:val="22"/>
              </w:rPr>
              <w:t>ten</w:t>
            </w:r>
            <w:r w:rsidRPr="00872376">
              <w:rPr>
                <w:rFonts w:ascii="Arial" w:hAnsi="Arial" w:cs="Arial"/>
                <w:sz w:val="22"/>
                <w:szCs w:val="22"/>
              </w:rPr>
              <w:t xml:space="preserve"> </w:t>
            </w:r>
            <w:r w:rsidR="00872376" w:rsidRPr="00872376">
              <w:rPr>
                <w:rFonts w:ascii="Arial" w:hAnsi="Arial" w:cs="Arial"/>
                <w:sz w:val="22"/>
                <w:szCs w:val="22"/>
              </w:rPr>
              <w:t>years after promulgation. The ten-year review will take into account the results provided by environmental effects monitoring and will also consider advances in selenium removal technologies. The goal will be to consider the results of those reviews and then propose amendments to the Regulations as needed. The proposed Regulations would be published in Canada Gazette, Part I in summer 2022, and should be made final in 2023.</w:t>
            </w:r>
          </w:p>
          <w:p w14:paraId="531EAF83" w14:textId="77777777" w:rsidR="00872376" w:rsidRPr="00872376" w:rsidRDefault="00872376" w:rsidP="00E33E62">
            <w:pPr>
              <w:spacing w:line="252" w:lineRule="auto"/>
              <w:rPr>
                <w:rFonts w:ascii="Arial" w:hAnsi="Arial" w:cs="Arial"/>
                <w:sz w:val="22"/>
                <w:szCs w:val="22"/>
              </w:rPr>
            </w:pPr>
          </w:p>
          <w:p w14:paraId="5B401B9D" w14:textId="16E24A00" w:rsidR="00872376" w:rsidRPr="00872376" w:rsidRDefault="00872376" w:rsidP="00E33E62">
            <w:pPr>
              <w:spacing w:line="252" w:lineRule="auto"/>
              <w:rPr>
                <w:rFonts w:ascii="Arial" w:hAnsi="Arial" w:cs="Arial"/>
                <w:sz w:val="22"/>
                <w:szCs w:val="22"/>
              </w:rPr>
            </w:pPr>
            <w:r w:rsidRPr="00872376">
              <w:rPr>
                <w:rFonts w:ascii="Arial" w:hAnsi="Arial" w:cs="Arial"/>
                <w:sz w:val="22"/>
                <w:szCs w:val="22"/>
              </w:rPr>
              <w:t>In addition to the Regulations, the proposed approach for coal mining will also ensure that when new or  expansion coal mining projects are subject to a federal environmental or impact assessment,   the assessment will include consideration of the site-specific receiving environment in order to consider the environmental impacts that might be associated with the proposed mine</w:t>
            </w:r>
            <w:r w:rsidR="005F3F28">
              <w:rPr>
                <w:rFonts w:ascii="Arial" w:hAnsi="Arial" w:cs="Arial"/>
                <w:sz w:val="22"/>
                <w:szCs w:val="22"/>
              </w:rPr>
              <w:t>;</w:t>
            </w:r>
            <w:r w:rsidRPr="00872376">
              <w:rPr>
                <w:rFonts w:ascii="Arial" w:hAnsi="Arial" w:cs="Arial"/>
                <w:sz w:val="22"/>
                <w:szCs w:val="22"/>
              </w:rPr>
              <w:t xml:space="preserve"> assuming it adheres to the proposed selenium effluent quality standard. </w:t>
            </w:r>
          </w:p>
          <w:p w14:paraId="45704CDF" w14:textId="77777777" w:rsidR="00872376" w:rsidRPr="00872376" w:rsidRDefault="00872376" w:rsidP="00E33E62">
            <w:pPr>
              <w:spacing w:line="252" w:lineRule="auto"/>
              <w:rPr>
                <w:rFonts w:ascii="Arial" w:hAnsi="Arial" w:cs="Arial"/>
                <w:sz w:val="22"/>
                <w:szCs w:val="22"/>
              </w:rPr>
            </w:pPr>
          </w:p>
          <w:p w14:paraId="09DF1A9E" w14:textId="676B2BE3" w:rsidR="00005D9E" w:rsidRPr="0072596A" w:rsidRDefault="00872376" w:rsidP="006A3B16">
            <w:pPr>
              <w:spacing w:line="252" w:lineRule="auto"/>
              <w:rPr>
                <w:rFonts w:ascii="Arial" w:hAnsi="Arial" w:cs="Arial"/>
                <w:b/>
                <w:sz w:val="22"/>
                <w:szCs w:val="22"/>
                <w:u w:val="single"/>
              </w:rPr>
            </w:pPr>
            <w:r w:rsidRPr="00872376">
              <w:rPr>
                <w:rFonts w:ascii="Arial" w:hAnsi="Arial" w:cs="Arial"/>
                <w:sz w:val="22"/>
                <w:szCs w:val="22"/>
              </w:rPr>
              <w:t xml:space="preserve">For updates on the status of the proposed regulations, please consult: </w:t>
            </w:r>
            <w:hyperlink r:id="rId8" w:history="1">
              <w:r w:rsidRPr="00E33E62">
                <w:rPr>
                  <w:rStyle w:val="Hyperlink"/>
                  <w:rFonts w:ascii="Arial" w:hAnsi="Arial" w:cs="Arial"/>
                  <w:sz w:val="22"/>
                  <w:szCs w:val="22"/>
                </w:rPr>
                <w:t>Proposed Coal Mining Effluent Regulations: overview - Canada.ca</w:t>
              </w:r>
            </w:hyperlink>
            <w:r w:rsidR="006A3B16">
              <w:rPr>
                <w:rFonts w:ascii="Arial" w:hAnsi="Arial" w:cs="Arial"/>
                <w:sz w:val="22"/>
                <w:szCs w:val="22"/>
              </w:rPr>
              <w:t>.</w:t>
            </w:r>
          </w:p>
        </w:tc>
      </w:tr>
      <w:tr w:rsidR="00005D9E" w:rsidRPr="0072596A" w14:paraId="129B8B26" w14:textId="77777777" w:rsidTr="00E33E62">
        <w:tc>
          <w:tcPr>
            <w:tcW w:w="296" w:type="pct"/>
          </w:tcPr>
          <w:p w14:paraId="3C025607" w14:textId="415FF237" w:rsidR="00005D9E" w:rsidRPr="0072596A" w:rsidRDefault="00141DF4" w:rsidP="00E33E62">
            <w:pPr>
              <w:rPr>
                <w:rFonts w:ascii="Arial" w:hAnsi="Arial" w:cs="Arial"/>
                <w:b/>
                <w:sz w:val="22"/>
                <w:szCs w:val="22"/>
              </w:rPr>
            </w:pPr>
            <w:r w:rsidRPr="0072596A">
              <w:rPr>
                <w:rFonts w:ascii="Arial" w:hAnsi="Arial" w:cs="Arial"/>
                <w:b/>
                <w:sz w:val="22"/>
                <w:szCs w:val="22"/>
              </w:rPr>
              <w:lastRenderedPageBreak/>
              <w:t>4</w:t>
            </w:r>
          </w:p>
        </w:tc>
        <w:tc>
          <w:tcPr>
            <w:tcW w:w="2171" w:type="pct"/>
            <w:tcMar>
              <w:top w:w="0" w:type="dxa"/>
              <w:left w:w="108" w:type="dxa"/>
              <w:bottom w:w="0" w:type="dxa"/>
              <w:right w:w="108" w:type="dxa"/>
            </w:tcMar>
          </w:tcPr>
          <w:p w14:paraId="40AB1F4A" w14:textId="0B0B8C26" w:rsidR="00005D9E" w:rsidRPr="0072596A" w:rsidRDefault="009F6C4A" w:rsidP="005F3F28">
            <w:pPr>
              <w:rPr>
                <w:rFonts w:ascii="Arial" w:hAnsi="Arial" w:cs="Arial"/>
                <w:sz w:val="22"/>
                <w:szCs w:val="22"/>
              </w:rPr>
            </w:pPr>
            <w:r w:rsidRPr="009F6C4A">
              <w:rPr>
                <w:rFonts w:ascii="Arial" w:hAnsi="Arial" w:cs="Arial"/>
                <w:sz w:val="22"/>
                <w:szCs w:val="22"/>
              </w:rPr>
              <w:t xml:space="preserve">The Panel recommends that the Government of Canada finalize and implement the federal recovery strategy for whitebark pine under </w:t>
            </w:r>
            <w:r w:rsidR="005F3F28">
              <w:rPr>
                <w:rFonts w:ascii="Arial" w:hAnsi="Arial" w:cs="Arial"/>
                <w:sz w:val="22"/>
                <w:szCs w:val="22"/>
              </w:rPr>
              <w:t xml:space="preserve">the </w:t>
            </w:r>
            <w:r w:rsidR="005F3F28" w:rsidRPr="004861AF">
              <w:rPr>
                <w:rFonts w:ascii="Arial" w:hAnsi="Arial" w:cs="Arial"/>
                <w:i/>
                <w:sz w:val="22"/>
                <w:szCs w:val="22"/>
              </w:rPr>
              <w:t>Species at Risk Act</w:t>
            </w:r>
            <w:r w:rsidR="005F3F28">
              <w:rPr>
                <w:rFonts w:ascii="Arial" w:hAnsi="Arial" w:cs="Arial"/>
                <w:sz w:val="22"/>
                <w:szCs w:val="22"/>
              </w:rPr>
              <w:t xml:space="preserve"> (</w:t>
            </w:r>
            <w:r w:rsidRPr="009F6C4A">
              <w:rPr>
                <w:rFonts w:ascii="Arial" w:hAnsi="Arial" w:cs="Arial"/>
                <w:sz w:val="22"/>
                <w:szCs w:val="22"/>
              </w:rPr>
              <w:t>SARA</w:t>
            </w:r>
            <w:r w:rsidR="005F3F28">
              <w:rPr>
                <w:rFonts w:ascii="Arial" w:hAnsi="Arial" w:cs="Arial"/>
                <w:sz w:val="22"/>
                <w:szCs w:val="22"/>
              </w:rPr>
              <w:t>)</w:t>
            </w:r>
            <w:r w:rsidRPr="009F6C4A">
              <w:rPr>
                <w:rFonts w:ascii="Arial" w:hAnsi="Arial" w:cs="Arial"/>
                <w:sz w:val="22"/>
                <w:szCs w:val="22"/>
              </w:rPr>
              <w:t xml:space="preserve"> as soon as possible. Several participants noted that this strategy is overdue. Finalizing the recovery strategy and providing further clarity around the definition and location of critical habitat for whitebark pine would provide clarity for industry, decision makers, and the public.</w:t>
            </w:r>
          </w:p>
        </w:tc>
        <w:tc>
          <w:tcPr>
            <w:tcW w:w="2532" w:type="pct"/>
            <w:tcMar>
              <w:top w:w="0" w:type="dxa"/>
              <w:left w:w="108" w:type="dxa"/>
              <w:bottom w:w="0" w:type="dxa"/>
              <w:right w:w="108" w:type="dxa"/>
            </w:tcMar>
          </w:tcPr>
          <w:p w14:paraId="29DF64F3" w14:textId="7731A68C" w:rsidR="005F3F28" w:rsidRDefault="00872376" w:rsidP="00D6510D">
            <w:pPr>
              <w:contextualSpacing/>
              <w:rPr>
                <w:rFonts w:ascii="Arial" w:hAnsi="Arial" w:cs="Arial"/>
                <w:sz w:val="22"/>
                <w:szCs w:val="22"/>
              </w:rPr>
            </w:pPr>
            <w:r w:rsidRPr="00B20937">
              <w:rPr>
                <w:rFonts w:ascii="Arial" w:hAnsi="Arial" w:cs="Arial"/>
                <w:sz w:val="22"/>
                <w:szCs w:val="22"/>
              </w:rPr>
              <w:t>The Government of Canada agrees with this recommendation.</w:t>
            </w:r>
          </w:p>
          <w:p w14:paraId="682EEB8C" w14:textId="46CF534A" w:rsidR="00872376" w:rsidRPr="00B20937" w:rsidRDefault="00872376" w:rsidP="00D6510D">
            <w:pPr>
              <w:contextualSpacing/>
              <w:rPr>
                <w:rFonts w:ascii="Arial" w:hAnsi="Arial" w:cs="Arial"/>
                <w:sz w:val="22"/>
                <w:szCs w:val="22"/>
              </w:rPr>
            </w:pPr>
          </w:p>
          <w:p w14:paraId="79891083" w14:textId="2297B7DE" w:rsidR="00872376" w:rsidRDefault="00872376" w:rsidP="00D6510D">
            <w:pPr>
              <w:contextualSpacing/>
              <w:rPr>
                <w:rFonts w:ascii="Arial" w:hAnsi="Arial" w:cs="Arial"/>
                <w:bCs/>
                <w:sz w:val="22"/>
                <w:szCs w:val="22"/>
                <w:lang w:val="en-CA"/>
              </w:rPr>
            </w:pPr>
            <w:r w:rsidRPr="00B20937">
              <w:rPr>
                <w:rFonts w:ascii="Arial" w:hAnsi="Arial" w:cs="Arial"/>
                <w:bCs/>
                <w:sz w:val="22"/>
                <w:szCs w:val="22"/>
                <w:lang w:val="en-CA"/>
              </w:rPr>
              <w:t>ECCC</w:t>
            </w:r>
            <w:r w:rsidRPr="00E33E62">
              <w:rPr>
                <w:rFonts w:ascii="Arial" w:hAnsi="Arial" w:cs="Arial"/>
                <w:bCs/>
                <w:sz w:val="22"/>
                <w:szCs w:val="22"/>
                <w:lang w:val="en-CA"/>
              </w:rPr>
              <w:t xml:space="preserve"> is in agreement with the </w:t>
            </w:r>
            <w:r w:rsidR="005F3F28">
              <w:rPr>
                <w:rFonts w:ascii="Arial" w:hAnsi="Arial" w:cs="Arial"/>
                <w:bCs/>
                <w:sz w:val="22"/>
                <w:szCs w:val="22"/>
                <w:lang w:val="en-CA"/>
              </w:rPr>
              <w:t>Panel</w:t>
            </w:r>
            <w:r w:rsidRPr="00E33E62">
              <w:rPr>
                <w:rFonts w:ascii="Arial" w:hAnsi="Arial" w:cs="Arial"/>
                <w:bCs/>
                <w:sz w:val="22"/>
                <w:szCs w:val="22"/>
                <w:lang w:val="en-CA"/>
              </w:rPr>
              <w:t xml:space="preserve"> that the Recovery Strategy for Whitebark Pine (</w:t>
            </w:r>
            <w:r w:rsidRPr="004861AF">
              <w:rPr>
                <w:rFonts w:ascii="Arial" w:hAnsi="Arial" w:cs="Arial"/>
                <w:bCs/>
                <w:i/>
                <w:sz w:val="22"/>
                <w:szCs w:val="22"/>
                <w:lang w:val="en-CA"/>
              </w:rPr>
              <w:t>Pinus albicaulis</w:t>
            </w:r>
            <w:r w:rsidRPr="00E33E62">
              <w:rPr>
                <w:rFonts w:ascii="Arial" w:hAnsi="Arial" w:cs="Arial"/>
                <w:bCs/>
                <w:sz w:val="22"/>
                <w:szCs w:val="22"/>
                <w:lang w:val="en-CA"/>
              </w:rPr>
              <w:t xml:space="preserve">) should be finalized as soon as possible. ECCC continues to work on the Strategy in accordance with section 37 of the </w:t>
            </w:r>
            <w:r w:rsidRPr="00E33E62">
              <w:rPr>
                <w:rFonts w:ascii="Arial" w:hAnsi="Arial" w:cs="Arial"/>
                <w:bCs/>
                <w:i/>
                <w:sz w:val="22"/>
                <w:szCs w:val="22"/>
                <w:lang w:val="en-CA"/>
              </w:rPr>
              <w:t>Species at Risk Act</w:t>
            </w:r>
            <w:r w:rsidRPr="00E33E62">
              <w:rPr>
                <w:rFonts w:ascii="Arial" w:hAnsi="Arial" w:cs="Arial"/>
                <w:bCs/>
                <w:sz w:val="22"/>
                <w:szCs w:val="22"/>
                <w:lang w:val="en-CA"/>
              </w:rPr>
              <w:t xml:space="preserve"> </w:t>
            </w:r>
            <w:r w:rsidRPr="00B20937">
              <w:rPr>
                <w:rFonts w:ascii="Arial" w:hAnsi="Arial" w:cs="Arial"/>
                <w:bCs/>
                <w:sz w:val="22"/>
                <w:szCs w:val="22"/>
                <w:lang w:val="en-CA"/>
              </w:rPr>
              <w:t xml:space="preserve">(SARA) </w:t>
            </w:r>
            <w:r w:rsidRPr="00E33E62">
              <w:rPr>
                <w:rFonts w:ascii="Arial" w:hAnsi="Arial" w:cs="Arial"/>
                <w:bCs/>
                <w:sz w:val="22"/>
                <w:szCs w:val="22"/>
                <w:lang w:val="en-CA"/>
              </w:rPr>
              <w:t>and recognizes the importance of finalizing the Recovery Strategy to support protection of the species, and ongoing implementation efforts. Due to operational delays and capacity constraints, particularly those resulting from COVID-19, progress on finalization of the Recovery Strategy has been delayed.</w:t>
            </w:r>
          </w:p>
          <w:p w14:paraId="66B9BDC5" w14:textId="77777777" w:rsidR="00B20937" w:rsidRPr="00E33E62" w:rsidRDefault="00B20937" w:rsidP="00D6510D">
            <w:pPr>
              <w:contextualSpacing/>
              <w:rPr>
                <w:rFonts w:ascii="Arial" w:hAnsi="Arial" w:cs="Arial"/>
                <w:bCs/>
                <w:sz w:val="22"/>
                <w:szCs w:val="22"/>
                <w:lang w:val="en-CA"/>
              </w:rPr>
            </w:pPr>
          </w:p>
          <w:p w14:paraId="1A4B5C24" w14:textId="21404F56" w:rsidR="00872376" w:rsidRPr="00E33E62" w:rsidRDefault="00872376" w:rsidP="00D6510D">
            <w:pPr>
              <w:contextualSpacing/>
              <w:rPr>
                <w:rFonts w:ascii="Arial" w:hAnsi="Arial" w:cs="Arial"/>
                <w:bCs/>
                <w:sz w:val="22"/>
                <w:szCs w:val="22"/>
                <w:lang w:val="en-CA"/>
              </w:rPr>
            </w:pPr>
            <w:r w:rsidRPr="00E33E62">
              <w:rPr>
                <w:rFonts w:ascii="Arial" w:hAnsi="Arial" w:cs="Arial"/>
                <w:bCs/>
                <w:sz w:val="22"/>
                <w:szCs w:val="22"/>
                <w:lang w:val="en-CA"/>
              </w:rPr>
              <w:t xml:space="preserve">In cooperation with federal and jurisdictional partners, ECCC is currently considering and addressing the large number of comments that were received during the public comment period. The aim is to provide improved clarity for industry, decision makers, and the public, to the extent possible, particularly with regards to the definition and location of critical habitat. ECCC anticipates that the final document will be released within the next year, after which time the Minister </w:t>
            </w:r>
            <w:r w:rsidR="005F3F28">
              <w:rPr>
                <w:rFonts w:ascii="Arial" w:hAnsi="Arial" w:cs="Arial"/>
                <w:bCs/>
                <w:sz w:val="22"/>
                <w:szCs w:val="22"/>
                <w:lang w:val="en-CA"/>
              </w:rPr>
              <w:t>of Environment</w:t>
            </w:r>
            <w:r w:rsidR="00D80961">
              <w:rPr>
                <w:rFonts w:ascii="Arial" w:hAnsi="Arial" w:cs="Arial"/>
                <w:bCs/>
                <w:sz w:val="22"/>
                <w:szCs w:val="22"/>
                <w:lang w:val="en-CA"/>
              </w:rPr>
              <w:t xml:space="preserve"> and Climate Change</w:t>
            </w:r>
            <w:r w:rsidR="005F3F28">
              <w:rPr>
                <w:rFonts w:ascii="Arial" w:hAnsi="Arial" w:cs="Arial"/>
                <w:bCs/>
                <w:sz w:val="22"/>
                <w:szCs w:val="22"/>
                <w:lang w:val="en-CA"/>
              </w:rPr>
              <w:t xml:space="preserve"> </w:t>
            </w:r>
            <w:r w:rsidRPr="00E33E62">
              <w:rPr>
                <w:rFonts w:ascii="Arial" w:hAnsi="Arial" w:cs="Arial"/>
                <w:bCs/>
                <w:sz w:val="22"/>
                <w:szCs w:val="22"/>
                <w:lang w:val="en-CA"/>
              </w:rPr>
              <w:t>may at any time amend the recovery strategy to reflect new knowledge.</w:t>
            </w:r>
          </w:p>
          <w:p w14:paraId="751DC856" w14:textId="4706DBB6" w:rsidR="00005D9E" w:rsidRPr="00E33E62" w:rsidRDefault="00005D9E" w:rsidP="00E33E62">
            <w:pPr>
              <w:rPr>
                <w:rFonts w:ascii="Arial" w:hAnsi="Arial" w:cs="Arial"/>
                <w:sz w:val="22"/>
                <w:szCs w:val="22"/>
                <w:lang w:val="en-CA"/>
              </w:rPr>
            </w:pPr>
          </w:p>
        </w:tc>
      </w:tr>
      <w:tr w:rsidR="00005D9E" w:rsidRPr="0072596A" w14:paraId="0AAA74E5" w14:textId="77777777" w:rsidTr="00E33E62">
        <w:tc>
          <w:tcPr>
            <w:tcW w:w="296" w:type="pct"/>
          </w:tcPr>
          <w:p w14:paraId="7435E6AD" w14:textId="270857FE" w:rsidR="00005D9E" w:rsidRPr="0072596A" w:rsidRDefault="00141DF4" w:rsidP="00E33E62">
            <w:pPr>
              <w:rPr>
                <w:rFonts w:ascii="Arial" w:hAnsi="Arial" w:cs="Arial"/>
                <w:b/>
                <w:sz w:val="22"/>
                <w:szCs w:val="22"/>
              </w:rPr>
            </w:pPr>
            <w:r w:rsidRPr="0072596A">
              <w:rPr>
                <w:rFonts w:ascii="Arial" w:hAnsi="Arial" w:cs="Arial"/>
                <w:b/>
                <w:sz w:val="22"/>
                <w:szCs w:val="22"/>
              </w:rPr>
              <w:t>5</w:t>
            </w:r>
          </w:p>
        </w:tc>
        <w:tc>
          <w:tcPr>
            <w:tcW w:w="2171" w:type="pct"/>
            <w:tcMar>
              <w:top w:w="0" w:type="dxa"/>
              <w:left w:w="108" w:type="dxa"/>
              <w:bottom w:w="0" w:type="dxa"/>
              <w:right w:w="108" w:type="dxa"/>
            </w:tcMar>
          </w:tcPr>
          <w:p w14:paraId="52DF6BB0" w14:textId="3E102732" w:rsidR="00005D9E" w:rsidRPr="0072596A" w:rsidRDefault="009F6C4A" w:rsidP="00E33E62">
            <w:pPr>
              <w:rPr>
                <w:rFonts w:ascii="Arial" w:hAnsi="Arial" w:cs="Arial"/>
                <w:sz w:val="22"/>
                <w:szCs w:val="22"/>
              </w:rPr>
            </w:pPr>
            <w:r w:rsidRPr="009F6C4A">
              <w:rPr>
                <w:rFonts w:ascii="Arial" w:hAnsi="Arial" w:cs="Arial"/>
                <w:sz w:val="22"/>
                <w:szCs w:val="22"/>
              </w:rPr>
              <w:t>The Panel recommends the Impact Assessment Agency of Canada develop regulatory guidance for proponents conducting wildlife health risk assessments on how to address the cumulative effects of multiple stressors. The Panel also recommended that the analysis be required in the tailored impact statement guidelines for future impact assessments. The proponent provided limited evidence regarding the potential combined effects of chemicals and habitat loss or degradation in its evaluation of project impacts on wildlife health. Such information would improve the quality of information available to decision makers.</w:t>
            </w:r>
          </w:p>
        </w:tc>
        <w:tc>
          <w:tcPr>
            <w:tcW w:w="2532" w:type="pct"/>
            <w:tcMar>
              <w:top w:w="0" w:type="dxa"/>
              <w:left w:w="108" w:type="dxa"/>
              <w:bottom w:w="0" w:type="dxa"/>
              <w:right w:w="108" w:type="dxa"/>
            </w:tcMar>
          </w:tcPr>
          <w:p w14:paraId="6DFEA6D1" w14:textId="30CFF4CF" w:rsidR="00644344" w:rsidRDefault="00644344" w:rsidP="00E33E62">
            <w:pPr>
              <w:spacing w:line="252" w:lineRule="auto"/>
              <w:rPr>
                <w:rFonts w:ascii="Arial" w:hAnsi="Arial" w:cs="Arial"/>
                <w:sz w:val="22"/>
                <w:szCs w:val="22"/>
              </w:rPr>
            </w:pPr>
            <w:r>
              <w:rPr>
                <w:rFonts w:ascii="Arial" w:hAnsi="Arial" w:cs="Arial"/>
                <w:sz w:val="22"/>
                <w:szCs w:val="22"/>
              </w:rPr>
              <w:t>The Government of Canada agrees with the intent of this recommendation.</w:t>
            </w:r>
            <w:r w:rsidR="00D6510D">
              <w:rPr>
                <w:rFonts w:ascii="Arial" w:hAnsi="Arial" w:cs="Arial"/>
                <w:sz w:val="22"/>
                <w:szCs w:val="22"/>
              </w:rPr>
              <w:t xml:space="preserve"> </w:t>
            </w:r>
          </w:p>
          <w:p w14:paraId="717B865F" w14:textId="77777777" w:rsidR="00644344" w:rsidRDefault="00644344" w:rsidP="00E33E62">
            <w:pPr>
              <w:spacing w:line="252" w:lineRule="auto"/>
              <w:rPr>
                <w:rFonts w:ascii="Arial" w:hAnsi="Arial" w:cs="Arial"/>
                <w:sz w:val="22"/>
                <w:szCs w:val="22"/>
              </w:rPr>
            </w:pPr>
          </w:p>
          <w:p w14:paraId="5DF35EB3" w14:textId="707E8BD5" w:rsidR="009F6C4A" w:rsidRPr="009F6C4A" w:rsidRDefault="00644344" w:rsidP="00E33E62">
            <w:pPr>
              <w:spacing w:line="252" w:lineRule="auto"/>
              <w:rPr>
                <w:rFonts w:ascii="Arial" w:hAnsi="Arial" w:cs="Arial"/>
                <w:sz w:val="22"/>
                <w:szCs w:val="22"/>
              </w:rPr>
            </w:pPr>
            <w:r>
              <w:rPr>
                <w:rFonts w:ascii="Arial" w:hAnsi="Arial" w:cs="Arial"/>
                <w:sz w:val="22"/>
                <w:szCs w:val="22"/>
              </w:rPr>
              <w:t>The</w:t>
            </w:r>
            <w:r w:rsidRPr="009F6C4A">
              <w:rPr>
                <w:rFonts w:ascii="Arial" w:hAnsi="Arial" w:cs="Arial"/>
                <w:sz w:val="22"/>
                <w:szCs w:val="22"/>
              </w:rPr>
              <w:t xml:space="preserve"> </w:t>
            </w:r>
            <w:r w:rsidR="009F6C4A" w:rsidRPr="009F6C4A">
              <w:rPr>
                <w:rFonts w:ascii="Arial" w:hAnsi="Arial" w:cs="Arial"/>
                <w:sz w:val="22"/>
                <w:szCs w:val="22"/>
              </w:rPr>
              <w:t>IAA</w:t>
            </w:r>
            <w:r>
              <w:rPr>
                <w:rFonts w:ascii="Arial" w:hAnsi="Arial" w:cs="Arial"/>
                <w:sz w:val="22"/>
                <w:szCs w:val="22"/>
              </w:rPr>
              <w:t xml:space="preserve"> requires impact assessment to </w:t>
            </w:r>
            <w:r w:rsidR="009F6C4A" w:rsidRPr="009F6C4A">
              <w:rPr>
                <w:rFonts w:ascii="Arial" w:hAnsi="Arial" w:cs="Arial"/>
                <w:sz w:val="22"/>
                <w:szCs w:val="22"/>
              </w:rPr>
              <w:t>consider “the changes to the environment</w:t>
            </w:r>
            <w:r w:rsidR="005F3F28">
              <w:rPr>
                <w:rFonts w:ascii="Arial" w:hAnsi="Arial" w:cs="Arial"/>
                <w:sz w:val="22"/>
                <w:szCs w:val="22"/>
              </w:rPr>
              <w:t xml:space="preserve"> [</w:t>
            </w:r>
            <w:r w:rsidR="009F6C4A" w:rsidRPr="009F6C4A">
              <w:rPr>
                <w:rFonts w:ascii="Arial" w:hAnsi="Arial" w:cs="Arial"/>
                <w:sz w:val="22"/>
                <w:szCs w:val="22"/>
              </w:rPr>
              <w:t>…</w:t>
            </w:r>
            <w:r w:rsidR="005F3F28">
              <w:rPr>
                <w:rFonts w:ascii="Arial" w:hAnsi="Arial" w:cs="Arial"/>
                <w:sz w:val="22"/>
                <w:szCs w:val="22"/>
              </w:rPr>
              <w:t xml:space="preserve">] </w:t>
            </w:r>
            <w:r w:rsidR="009F6C4A" w:rsidRPr="009F6C4A">
              <w:rPr>
                <w:rFonts w:ascii="Arial" w:hAnsi="Arial" w:cs="Arial"/>
                <w:sz w:val="22"/>
                <w:szCs w:val="22"/>
              </w:rPr>
              <w:t xml:space="preserve">and the positive and negative consequences of these changes that are likely to be caused by the carrying out of the designated project, including the result of any interaction between those effects”. </w:t>
            </w:r>
            <w:r>
              <w:rPr>
                <w:rFonts w:ascii="Arial" w:hAnsi="Arial" w:cs="Arial"/>
                <w:sz w:val="22"/>
                <w:szCs w:val="22"/>
              </w:rPr>
              <w:t xml:space="preserve">To implement this requirement, the </w:t>
            </w:r>
            <w:r w:rsidR="005F3F28">
              <w:rPr>
                <w:rFonts w:ascii="Arial" w:hAnsi="Arial" w:cs="Arial"/>
                <w:sz w:val="22"/>
                <w:szCs w:val="22"/>
              </w:rPr>
              <w:t>TISG</w:t>
            </w:r>
            <w:r>
              <w:rPr>
                <w:rFonts w:ascii="Arial" w:hAnsi="Arial" w:cs="Arial"/>
                <w:sz w:val="22"/>
                <w:szCs w:val="22"/>
              </w:rPr>
              <w:t xml:space="preserve"> developed for each assessment</w:t>
            </w:r>
            <w:r w:rsidR="009F6C4A" w:rsidRPr="009F6C4A">
              <w:rPr>
                <w:rFonts w:ascii="Arial" w:hAnsi="Arial" w:cs="Arial"/>
                <w:sz w:val="22"/>
                <w:szCs w:val="22"/>
              </w:rPr>
              <w:t xml:space="preserve"> require proponents to consider the interaction between effects on wildlife valued components.  </w:t>
            </w:r>
            <w:r>
              <w:rPr>
                <w:rFonts w:ascii="Arial" w:hAnsi="Arial" w:cs="Arial"/>
                <w:sz w:val="22"/>
                <w:szCs w:val="22"/>
              </w:rPr>
              <w:t xml:space="preserve">In developing </w:t>
            </w:r>
            <w:r w:rsidR="005F3F28">
              <w:rPr>
                <w:rFonts w:ascii="Arial" w:hAnsi="Arial" w:cs="Arial"/>
                <w:sz w:val="22"/>
                <w:szCs w:val="22"/>
              </w:rPr>
              <w:t>TISG</w:t>
            </w:r>
            <w:r w:rsidR="009F6C4A" w:rsidRPr="009F6C4A">
              <w:rPr>
                <w:rFonts w:ascii="Arial" w:hAnsi="Arial" w:cs="Arial"/>
                <w:sz w:val="22"/>
                <w:szCs w:val="22"/>
              </w:rPr>
              <w:t xml:space="preserve"> </w:t>
            </w:r>
            <w:r>
              <w:rPr>
                <w:rFonts w:ascii="Arial" w:hAnsi="Arial" w:cs="Arial"/>
                <w:sz w:val="22"/>
                <w:szCs w:val="22"/>
              </w:rPr>
              <w:t>for each assessment</w:t>
            </w:r>
            <w:r w:rsidR="009F6C4A" w:rsidRPr="009F6C4A">
              <w:rPr>
                <w:rFonts w:ascii="Arial" w:hAnsi="Arial" w:cs="Arial"/>
                <w:sz w:val="22"/>
                <w:szCs w:val="22"/>
              </w:rPr>
              <w:t xml:space="preserve">, </w:t>
            </w:r>
            <w:r w:rsidR="00143AA6">
              <w:rPr>
                <w:rFonts w:ascii="Arial" w:hAnsi="Arial" w:cs="Arial"/>
                <w:sz w:val="22"/>
                <w:szCs w:val="22"/>
              </w:rPr>
              <w:t>the Agency</w:t>
            </w:r>
            <w:r w:rsidRPr="009F6C4A">
              <w:rPr>
                <w:rFonts w:ascii="Arial" w:hAnsi="Arial" w:cs="Arial"/>
                <w:sz w:val="22"/>
                <w:szCs w:val="22"/>
              </w:rPr>
              <w:t xml:space="preserve"> </w:t>
            </w:r>
            <w:r w:rsidR="009F6C4A" w:rsidRPr="009F6C4A">
              <w:rPr>
                <w:rFonts w:ascii="Arial" w:hAnsi="Arial" w:cs="Arial"/>
                <w:sz w:val="22"/>
                <w:szCs w:val="22"/>
              </w:rPr>
              <w:t xml:space="preserve">will consider whether it is appropriate to direct proponents to provide a wildlife health risk assessment. </w:t>
            </w:r>
            <w:r w:rsidR="00C76ECE" w:rsidRPr="00C76ECE">
              <w:rPr>
                <w:rFonts w:ascii="Arial" w:hAnsi="Arial" w:cs="Arial"/>
                <w:sz w:val="22"/>
                <w:szCs w:val="22"/>
              </w:rPr>
              <w:t xml:space="preserve">The Government of Canada recognizes that understanding and managing cumulative effects is challenging, particularly in a project-specific context. As cumulative effects methodologies develop, these will be incorporated into the </w:t>
            </w:r>
            <w:r w:rsidR="005F3F28">
              <w:rPr>
                <w:rFonts w:ascii="Arial" w:hAnsi="Arial" w:cs="Arial"/>
                <w:sz w:val="22"/>
                <w:szCs w:val="22"/>
              </w:rPr>
              <w:t>project-specific TISG</w:t>
            </w:r>
            <w:r w:rsidR="00C76ECE" w:rsidRPr="00C76ECE">
              <w:rPr>
                <w:rFonts w:ascii="Arial" w:hAnsi="Arial" w:cs="Arial"/>
                <w:sz w:val="22"/>
                <w:szCs w:val="22"/>
              </w:rPr>
              <w:t>.</w:t>
            </w:r>
          </w:p>
          <w:p w14:paraId="135A4F8C" w14:textId="15D1089B" w:rsidR="00005D9E" w:rsidRPr="0072596A" w:rsidRDefault="00005D9E" w:rsidP="00E33E62">
            <w:pPr>
              <w:spacing w:line="252" w:lineRule="auto"/>
              <w:rPr>
                <w:rFonts w:ascii="Arial" w:hAnsi="Arial" w:cs="Arial"/>
                <w:sz w:val="22"/>
                <w:szCs w:val="22"/>
              </w:rPr>
            </w:pPr>
          </w:p>
        </w:tc>
      </w:tr>
      <w:tr w:rsidR="00005D9E" w:rsidRPr="0072596A" w14:paraId="2B497034" w14:textId="77777777" w:rsidTr="00E33E62">
        <w:trPr>
          <w:trHeight w:val="931"/>
        </w:trPr>
        <w:tc>
          <w:tcPr>
            <w:tcW w:w="296" w:type="pct"/>
          </w:tcPr>
          <w:p w14:paraId="48533029" w14:textId="3E5F52F2" w:rsidR="00005D9E" w:rsidRPr="0072596A" w:rsidRDefault="00141DF4" w:rsidP="00E33E62">
            <w:pPr>
              <w:rPr>
                <w:rFonts w:ascii="Arial" w:hAnsi="Arial" w:cs="Arial"/>
                <w:b/>
                <w:sz w:val="22"/>
                <w:szCs w:val="22"/>
              </w:rPr>
            </w:pPr>
            <w:r w:rsidRPr="0072596A">
              <w:rPr>
                <w:rFonts w:ascii="Arial" w:hAnsi="Arial" w:cs="Arial"/>
                <w:b/>
                <w:sz w:val="22"/>
                <w:szCs w:val="22"/>
              </w:rPr>
              <w:t>6</w:t>
            </w:r>
          </w:p>
        </w:tc>
        <w:tc>
          <w:tcPr>
            <w:tcW w:w="2171" w:type="pct"/>
            <w:tcMar>
              <w:top w:w="0" w:type="dxa"/>
              <w:left w:w="108" w:type="dxa"/>
              <w:bottom w:w="0" w:type="dxa"/>
              <w:right w:w="108" w:type="dxa"/>
            </w:tcMar>
          </w:tcPr>
          <w:p w14:paraId="10C7BCAC" w14:textId="1DE602DD" w:rsidR="0072596A" w:rsidRPr="0072596A" w:rsidRDefault="0072596A" w:rsidP="00E33E62">
            <w:pPr>
              <w:rPr>
                <w:rFonts w:ascii="Arial" w:hAnsi="Arial" w:cs="Arial"/>
                <w:b/>
                <w:bCs/>
                <w:sz w:val="22"/>
                <w:szCs w:val="22"/>
              </w:rPr>
            </w:pPr>
            <w:r w:rsidRPr="0072596A">
              <w:rPr>
                <w:rFonts w:ascii="Arial" w:hAnsi="Arial" w:cs="Arial"/>
                <w:sz w:val="22"/>
                <w:szCs w:val="22"/>
              </w:rPr>
              <w:t xml:space="preserve">The Panel recommends that the federal and provincial governments clarify the requirements for economic analysis for future provincial EIAs or federal impact assessments. Proponents should be required by the terms of reference to provide both an economic impact analysis and a cost-benefit analysis that allows decision makers to make informed decisions based on both types of economic information. The Panel also suggests that governments develop guidelines on the methodologies and assumptions that should be followed by proponents in producing these future analyses. Governments may wish to review the </w:t>
            </w:r>
            <w:r w:rsidRPr="0072596A">
              <w:rPr>
                <w:rFonts w:ascii="Arial" w:hAnsi="Arial" w:cs="Arial"/>
                <w:i/>
                <w:iCs/>
                <w:sz w:val="22"/>
                <w:szCs w:val="22"/>
              </w:rPr>
              <w:t xml:space="preserve">Canadian Cost-Benefit Analysis Guide </w:t>
            </w:r>
            <w:r w:rsidRPr="0072596A">
              <w:rPr>
                <w:rFonts w:ascii="Arial" w:hAnsi="Arial" w:cs="Arial"/>
                <w:sz w:val="22"/>
                <w:szCs w:val="22"/>
              </w:rPr>
              <w:t>produced by the Treasury Board of Canada.</w:t>
            </w:r>
          </w:p>
          <w:p w14:paraId="599DCAD5" w14:textId="77777777" w:rsidR="0072596A" w:rsidRPr="0072596A" w:rsidRDefault="0072596A" w:rsidP="00E33E62">
            <w:pPr>
              <w:rPr>
                <w:rFonts w:ascii="Arial" w:hAnsi="Arial" w:cs="Arial"/>
                <w:sz w:val="22"/>
                <w:szCs w:val="22"/>
              </w:rPr>
            </w:pPr>
          </w:p>
          <w:p w14:paraId="157B2323" w14:textId="378BB110" w:rsidR="0072596A" w:rsidRPr="0072596A" w:rsidRDefault="0072596A" w:rsidP="00E33E62">
            <w:pPr>
              <w:rPr>
                <w:rFonts w:ascii="Arial" w:hAnsi="Arial" w:cs="Arial"/>
                <w:sz w:val="22"/>
                <w:szCs w:val="22"/>
              </w:rPr>
            </w:pPr>
            <w:r w:rsidRPr="0072596A">
              <w:rPr>
                <w:rFonts w:ascii="Arial" w:hAnsi="Arial" w:cs="Arial"/>
                <w:sz w:val="22"/>
                <w:szCs w:val="22"/>
              </w:rPr>
              <w:t>Different economists expressed varied views about what type of economic analysis should be conducted in a review. The Panel agrees that different types of economic analyses yield different kinds of information. The Panel believes that decision makers in future impact assessments would benefit from access to these different kinds of information.</w:t>
            </w:r>
          </w:p>
          <w:p w14:paraId="3A6B6CDC" w14:textId="6C4899BD" w:rsidR="00005D9E" w:rsidRPr="0072596A" w:rsidRDefault="00005D9E" w:rsidP="00E33E62">
            <w:pPr>
              <w:rPr>
                <w:rFonts w:ascii="Arial" w:hAnsi="Arial" w:cs="Arial"/>
                <w:b/>
                <w:sz w:val="22"/>
                <w:szCs w:val="22"/>
              </w:rPr>
            </w:pPr>
          </w:p>
        </w:tc>
        <w:tc>
          <w:tcPr>
            <w:tcW w:w="2532" w:type="pct"/>
            <w:tcMar>
              <w:top w:w="0" w:type="dxa"/>
              <w:left w:w="108" w:type="dxa"/>
              <w:bottom w:w="0" w:type="dxa"/>
              <w:right w:w="108" w:type="dxa"/>
            </w:tcMar>
          </w:tcPr>
          <w:p w14:paraId="09FF1324" w14:textId="085C2480" w:rsidR="0072596A" w:rsidRPr="0072596A" w:rsidRDefault="0072596A" w:rsidP="00E33E62">
            <w:pPr>
              <w:rPr>
                <w:rFonts w:ascii="Arial" w:hAnsi="Arial" w:cs="Arial"/>
                <w:sz w:val="22"/>
                <w:szCs w:val="22"/>
              </w:rPr>
            </w:pPr>
            <w:r w:rsidRPr="0072596A">
              <w:rPr>
                <w:rFonts w:ascii="Arial" w:hAnsi="Arial" w:cs="Arial"/>
                <w:sz w:val="22"/>
                <w:szCs w:val="22"/>
              </w:rPr>
              <w:t xml:space="preserve">The Government of Canada </w:t>
            </w:r>
            <w:r w:rsidR="00644344">
              <w:rPr>
                <w:rFonts w:ascii="Arial" w:hAnsi="Arial" w:cs="Arial"/>
                <w:sz w:val="22"/>
                <w:szCs w:val="22"/>
              </w:rPr>
              <w:t xml:space="preserve">agrees with the intent of this recommendation, and </w:t>
            </w:r>
            <w:r w:rsidRPr="0072596A">
              <w:rPr>
                <w:rFonts w:ascii="Arial" w:hAnsi="Arial" w:cs="Arial"/>
                <w:sz w:val="22"/>
                <w:szCs w:val="22"/>
              </w:rPr>
              <w:t>remains committed to providing proponent</w:t>
            </w:r>
            <w:r w:rsidR="00D6510D">
              <w:rPr>
                <w:rFonts w:ascii="Arial" w:hAnsi="Arial" w:cs="Arial"/>
                <w:sz w:val="22"/>
                <w:szCs w:val="22"/>
              </w:rPr>
              <w:t>s</w:t>
            </w:r>
            <w:r w:rsidRPr="0072596A">
              <w:rPr>
                <w:rFonts w:ascii="Arial" w:hAnsi="Arial" w:cs="Arial"/>
                <w:sz w:val="22"/>
                <w:szCs w:val="22"/>
              </w:rPr>
              <w:t xml:space="preserve"> with clear requirements for the economic information, studies and analysis </w:t>
            </w:r>
            <w:r w:rsidR="009935FB">
              <w:rPr>
                <w:rFonts w:ascii="Arial" w:hAnsi="Arial" w:cs="Arial"/>
                <w:sz w:val="22"/>
                <w:szCs w:val="22"/>
              </w:rPr>
              <w:t xml:space="preserve">to be included in a </w:t>
            </w:r>
            <w:r w:rsidR="009935FB" w:rsidRPr="001E761F">
              <w:rPr>
                <w:rFonts w:ascii="Arial" w:hAnsi="Arial" w:cs="Arial"/>
                <w:sz w:val="22"/>
                <w:szCs w:val="22"/>
              </w:rPr>
              <w:t xml:space="preserve">proponent’s </w:t>
            </w:r>
            <w:r w:rsidR="009935FB" w:rsidRPr="004861AF">
              <w:rPr>
                <w:rFonts w:ascii="Arial" w:hAnsi="Arial" w:cs="Arial"/>
                <w:sz w:val="22"/>
                <w:szCs w:val="22"/>
              </w:rPr>
              <w:t>I</w:t>
            </w:r>
            <w:r w:rsidRPr="001E761F">
              <w:rPr>
                <w:rFonts w:ascii="Arial" w:hAnsi="Arial" w:cs="Arial"/>
                <w:sz w:val="22"/>
                <w:szCs w:val="22"/>
              </w:rPr>
              <w:t xml:space="preserve">mpact </w:t>
            </w:r>
            <w:r w:rsidR="009935FB" w:rsidRPr="004861AF">
              <w:rPr>
                <w:rFonts w:ascii="Arial" w:hAnsi="Arial" w:cs="Arial"/>
                <w:sz w:val="22"/>
                <w:szCs w:val="22"/>
              </w:rPr>
              <w:t>Statement</w:t>
            </w:r>
            <w:r w:rsidRPr="001E761F">
              <w:rPr>
                <w:rFonts w:ascii="Arial" w:hAnsi="Arial" w:cs="Arial"/>
                <w:sz w:val="22"/>
                <w:szCs w:val="22"/>
              </w:rPr>
              <w:t>.</w:t>
            </w:r>
          </w:p>
          <w:p w14:paraId="198E0E51" w14:textId="77777777" w:rsidR="0072596A" w:rsidRPr="0072596A" w:rsidRDefault="0072596A" w:rsidP="00E33E62">
            <w:pPr>
              <w:rPr>
                <w:rFonts w:ascii="Arial" w:hAnsi="Arial" w:cs="Arial"/>
                <w:sz w:val="22"/>
                <w:szCs w:val="22"/>
              </w:rPr>
            </w:pPr>
          </w:p>
          <w:p w14:paraId="79C802C7" w14:textId="78968523" w:rsidR="0072596A" w:rsidRPr="0072596A" w:rsidRDefault="0072596A" w:rsidP="00E33E62">
            <w:pPr>
              <w:rPr>
                <w:rFonts w:ascii="Arial" w:hAnsi="Arial" w:cs="Arial"/>
                <w:sz w:val="22"/>
                <w:szCs w:val="22"/>
              </w:rPr>
            </w:pPr>
            <w:r w:rsidRPr="0072596A">
              <w:rPr>
                <w:rFonts w:ascii="Arial" w:hAnsi="Arial" w:cs="Arial"/>
                <w:sz w:val="22"/>
                <w:szCs w:val="22"/>
              </w:rPr>
              <w:t xml:space="preserve">A key element for the </w:t>
            </w:r>
            <w:r w:rsidR="00644344">
              <w:rPr>
                <w:rFonts w:ascii="Arial" w:hAnsi="Arial" w:cs="Arial"/>
                <w:sz w:val="22"/>
                <w:szCs w:val="22"/>
              </w:rPr>
              <w:t>i</w:t>
            </w:r>
            <w:r w:rsidRPr="0072596A">
              <w:rPr>
                <w:rFonts w:ascii="Arial" w:hAnsi="Arial" w:cs="Arial"/>
                <w:sz w:val="22"/>
                <w:szCs w:val="22"/>
              </w:rPr>
              <w:t xml:space="preserve">mpact assessment regime is the </w:t>
            </w:r>
            <w:r w:rsidR="00410FDF">
              <w:rPr>
                <w:rFonts w:ascii="Arial" w:hAnsi="Arial" w:cs="Arial"/>
                <w:sz w:val="22"/>
                <w:szCs w:val="22"/>
              </w:rPr>
              <w:t>development</w:t>
            </w:r>
            <w:r w:rsidR="00410FDF" w:rsidRPr="0072596A">
              <w:rPr>
                <w:rFonts w:ascii="Arial" w:hAnsi="Arial" w:cs="Arial"/>
                <w:sz w:val="22"/>
                <w:szCs w:val="22"/>
              </w:rPr>
              <w:t xml:space="preserve"> </w:t>
            </w:r>
            <w:r w:rsidRPr="0072596A">
              <w:rPr>
                <w:rFonts w:ascii="Arial" w:hAnsi="Arial" w:cs="Arial"/>
                <w:sz w:val="22"/>
                <w:szCs w:val="22"/>
              </w:rPr>
              <w:t xml:space="preserve">of </w:t>
            </w:r>
            <w:r w:rsidR="005F3F28">
              <w:rPr>
                <w:rFonts w:ascii="Arial" w:hAnsi="Arial" w:cs="Arial"/>
                <w:sz w:val="22"/>
                <w:szCs w:val="22"/>
              </w:rPr>
              <w:t>TISG</w:t>
            </w:r>
            <w:r w:rsidR="00410FDF">
              <w:rPr>
                <w:rFonts w:ascii="Arial" w:hAnsi="Arial" w:cs="Arial"/>
                <w:sz w:val="22"/>
                <w:szCs w:val="22"/>
              </w:rPr>
              <w:t xml:space="preserve"> for each assessment. The </w:t>
            </w:r>
            <w:r w:rsidR="005F3F28">
              <w:rPr>
                <w:rFonts w:ascii="Arial" w:hAnsi="Arial" w:cs="Arial"/>
                <w:sz w:val="22"/>
                <w:szCs w:val="22"/>
              </w:rPr>
              <w:t>TISG</w:t>
            </w:r>
            <w:r w:rsidRPr="0072596A">
              <w:rPr>
                <w:rFonts w:ascii="Arial" w:hAnsi="Arial" w:cs="Arial"/>
                <w:sz w:val="22"/>
                <w:szCs w:val="22"/>
              </w:rPr>
              <w:t xml:space="preserve"> provide direction to the proponent on the factors to be considered for impact assessments, including the project’s economic benefits and risks. </w:t>
            </w:r>
            <w:r w:rsidR="00143AA6">
              <w:rPr>
                <w:rFonts w:ascii="Arial" w:hAnsi="Arial" w:cs="Arial"/>
                <w:sz w:val="22"/>
                <w:szCs w:val="22"/>
              </w:rPr>
              <w:t>The Agency</w:t>
            </w:r>
            <w:r w:rsidRPr="0072596A">
              <w:rPr>
                <w:rFonts w:ascii="Arial" w:hAnsi="Arial" w:cs="Arial"/>
                <w:sz w:val="22"/>
                <w:szCs w:val="22"/>
              </w:rPr>
              <w:t xml:space="preserve"> tailors the TISG for each </w:t>
            </w:r>
            <w:r w:rsidR="00410FDF">
              <w:rPr>
                <w:rFonts w:ascii="Arial" w:hAnsi="Arial" w:cs="Arial"/>
                <w:sz w:val="22"/>
                <w:szCs w:val="22"/>
              </w:rPr>
              <w:t>assessment</w:t>
            </w:r>
            <w:r w:rsidR="00410FDF" w:rsidRPr="0072596A">
              <w:rPr>
                <w:rFonts w:ascii="Arial" w:hAnsi="Arial" w:cs="Arial"/>
                <w:sz w:val="22"/>
                <w:szCs w:val="22"/>
              </w:rPr>
              <w:t xml:space="preserve"> </w:t>
            </w:r>
            <w:r w:rsidRPr="0072596A">
              <w:rPr>
                <w:rFonts w:ascii="Arial" w:hAnsi="Arial" w:cs="Arial"/>
                <w:sz w:val="22"/>
                <w:szCs w:val="22"/>
              </w:rPr>
              <w:t xml:space="preserve">and provides </w:t>
            </w:r>
            <w:r w:rsidR="00410FDF">
              <w:rPr>
                <w:rFonts w:ascii="Arial" w:hAnsi="Arial" w:cs="Arial"/>
                <w:sz w:val="22"/>
                <w:szCs w:val="22"/>
              </w:rPr>
              <w:t>direction to the proponent of the project</w:t>
            </w:r>
            <w:r w:rsidR="00410FDF" w:rsidRPr="0072596A">
              <w:rPr>
                <w:rFonts w:ascii="Arial" w:hAnsi="Arial" w:cs="Arial"/>
                <w:sz w:val="22"/>
                <w:szCs w:val="22"/>
              </w:rPr>
              <w:t xml:space="preserve"> </w:t>
            </w:r>
            <w:r w:rsidRPr="0072596A">
              <w:rPr>
                <w:rFonts w:ascii="Arial" w:hAnsi="Arial" w:cs="Arial"/>
                <w:sz w:val="22"/>
                <w:szCs w:val="22"/>
              </w:rPr>
              <w:t>on the methods to be followed and information requirements, including economic information, in order to guide preparation of the</w:t>
            </w:r>
            <w:r w:rsidR="009E2675">
              <w:rPr>
                <w:rFonts w:ascii="Arial" w:hAnsi="Arial" w:cs="Arial"/>
                <w:sz w:val="22"/>
                <w:szCs w:val="22"/>
              </w:rPr>
              <w:t xml:space="preserve"> proponent’s</w:t>
            </w:r>
            <w:r w:rsidRPr="0072596A">
              <w:rPr>
                <w:rFonts w:ascii="Arial" w:hAnsi="Arial" w:cs="Arial"/>
                <w:sz w:val="22"/>
                <w:szCs w:val="22"/>
              </w:rPr>
              <w:t xml:space="preserve"> Impact Statement. The tailoring of the </w:t>
            </w:r>
            <w:r w:rsidR="009E2675">
              <w:rPr>
                <w:rFonts w:ascii="Arial" w:hAnsi="Arial" w:cs="Arial"/>
                <w:sz w:val="22"/>
                <w:szCs w:val="22"/>
              </w:rPr>
              <w:t>TISG</w:t>
            </w:r>
            <w:r w:rsidRPr="0072596A">
              <w:rPr>
                <w:rFonts w:ascii="Arial" w:hAnsi="Arial" w:cs="Arial"/>
                <w:sz w:val="22"/>
                <w:szCs w:val="22"/>
              </w:rPr>
              <w:t xml:space="preserve">, including requirements for economic analysis, is based on the nature, complexity and context of the project, and is informed and guided by consultation and engagement that occurs with the public, Indigenous groups, lifecycle regulators, jurisdictions, federal authorities and other interested parties during early planning. </w:t>
            </w:r>
          </w:p>
          <w:p w14:paraId="091F85D5" w14:textId="77777777" w:rsidR="0072596A" w:rsidRPr="0072596A" w:rsidRDefault="0072596A" w:rsidP="00E33E62">
            <w:pPr>
              <w:rPr>
                <w:rFonts w:ascii="Arial" w:hAnsi="Arial" w:cs="Arial"/>
                <w:sz w:val="22"/>
                <w:szCs w:val="22"/>
              </w:rPr>
            </w:pPr>
          </w:p>
          <w:p w14:paraId="4812470E" w14:textId="54946333" w:rsidR="0072596A" w:rsidRPr="0072596A" w:rsidRDefault="0072596A" w:rsidP="00E33E62">
            <w:pPr>
              <w:rPr>
                <w:rFonts w:ascii="Arial" w:hAnsi="Arial" w:cs="Arial"/>
                <w:sz w:val="22"/>
                <w:szCs w:val="22"/>
              </w:rPr>
            </w:pPr>
            <w:r w:rsidRPr="0072596A">
              <w:rPr>
                <w:rFonts w:ascii="Arial" w:hAnsi="Arial" w:cs="Arial"/>
                <w:sz w:val="22"/>
                <w:szCs w:val="22"/>
              </w:rPr>
              <w:t xml:space="preserve">Natural Resources Canada </w:t>
            </w:r>
            <w:r w:rsidR="005467A2">
              <w:rPr>
                <w:rFonts w:ascii="Arial" w:hAnsi="Arial" w:cs="Arial"/>
                <w:sz w:val="22"/>
                <w:szCs w:val="22"/>
              </w:rPr>
              <w:t xml:space="preserve">(NRCan) </w:t>
            </w:r>
            <w:r w:rsidRPr="0072596A">
              <w:rPr>
                <w:rFonts w:ascii="Arial" w:hAnsi="Arial" w:cs="Arial"/>
                <w:sz w:val="22"/>
                <w:szCs w:val="22"/>
              </w:rPr>
              <w:t xml:space="preserve">will continue to support </w:t>
            </w:r>
            <w:r w:rsidR="00143AA6">
              <w:rPr>
                <w:rFonts w:ascii="Arial" w:hAnsi="Arial" w:cs="Arial"/>
                <w:sz w:val="22"/>
                <w:szCs w:val="22"/>
              </w:rPr>
              <w:t>the Agency</w:t>
            </w:r>
            <w:r w:rsidRPr="0072596A">
              <w:rPr>
                <w:rFonts w:ascii="Arial" w:hAnsi="Arial" w:cs="Arial"/>
                <w:sz w:val="22"/>
                <w:szCs w:val="22"/>
              </w:rPr>
              <w:t xml:space="preserve"> in developing project-specific </w:t>
            </w:r>
            <w:r w:rsidR="009E2675">
              <w:rPr>
                <w:rFonts w:ascii="Arial" w:hAnsi="Arial" w:cs="Arial"/>
                <w:sz w:val="22"/>
                <w:szCs w:val="22"/>
              </w:rPr>
              <w:t>TISG</w:t>
            </w:r>
            <w:r w:rsidR="00143AA6">
              <w:rPr>
                <w:rFonts w:ascii="Arial" w:hAnsi="Arial" w:cs="Arial"/>
                <w:sz w:val="22"/>
                <w:szCs w:val="22"/>
              </w:rPr>
              <w:t>.</w:t>
            </w:r>
            <w:r w:rsidRPr="0072596A">
              <w:rPr>
                <w:rFonts w:ascii="Arial" w:hAnsi="Arial" w:cs="Arial"/>
                <w:sz w:val="22"/>
                <w:szCs w:val="22"/>
              </w:rPr>
              <w:t xml:space="preserve"> NRCan will also support the </w:t>
            </w:r>
            <w:r w:rsidR="005467A2">
              <w:rPr>
                <w:rFonts w:ascii="Arial" w:hAnsi="Arial" w:cs="Arial"/>
                <w:sz w:val="22"/>
                <w:szCs w:val="22"/>
              </w:rPr>
              <w:t>impact assessment</w:t>
            </w:r>
            <w:r w:rsidR="005467A2" w:rsidRPr="0072596A">
              <w:rPr>
                <w:rFonts w:ascii="Arial" w:hAnsi="Arial" w:cs="Arial"/>
                <w:sz w:val="22"/>
                <w:szCs w:val="22"/>
              </w:rPr>
              <w:t xml:space="preserve"> </w:t>
            </w:r>
            <w:r w:rsidRPr="0072596A">
              <w:rPr>
                <w:rFonts w:ascii="Arial" w:hAnsi="Arial" w:cs="Arial"/>
                <w:sz w:val="22"/>
                <w:szCs w:val="22"/>
              </w:rPr>
              <w:t>process by undertaking economic analysis of natural resource projects for the sustainable and inclusive development of Canada’s natural resources.</w:t>
            </w:r>
          </w:p>
          <w:p w14:paraId="0A52F338" w14:textId="101E54F9" w:rsidR="00005D9E" w:rsidRPr="0072596A" w:rsidRDefault="00005D9E" w:rsidP="00E33E62">
            <w:pPr>
              <w:rPr>
                <w:rFonts w:ascii="Arial" w:hAnsi="Arial" w:cs="Arial"/>
                <w:sz w:val="22"/>
                <w:szCs w:val="22"/>
              </w:rPr>
            </w:pPr>
          </w:p>
        </w:tc>
      </w:tr>
    </w:tbl>
    <w:p w14:paraId="37A1ED81" w14:textId="4303E036" w:rsidR="005D6B8A" w:rsidRPr="0072596A" w:rsidRDefault="00E33E62" w:rsidP="000D4CB2">
      <w:pPr>
        <w:pStyle w:val="Heading1"/>
        <w:rPr>
          <w:rFonts w:ascii="Arial" w:hAnsi="Arial" w:cs="Arial"/>
          <w:sz w:val="22"/>
          <w:szCs w:val="22"/>
        </w:rPr>
      </w:pPr>
      <w:r>
        <w:rPr>
          <w:rFonts w:ascii="Arial" w:hAnsi="Arial" w:cs="Arial"/>
          <w:sz w:val="22"/>
          <w:szCs w:val="22"/>
        </w:rPr>
        <w:br w:type="textWrapping" w:clear="all"/>
      </w:r>
    </w:p>
    <w:sectPr w:rsidR="005D6B8A" w:rsidRPr="0072596A" w:rsidSect="0072596A">
      <w:footerReference w:type="default" r:id="rId9"/>
      <w:headerReference w:type="first" r:id="rId10"/>
      <w:footerReference w:type="first" r:id="rId11"/>
      <w:pgSz w:w="15840" w:h="24480" w:code="17"/>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704CB" w14:textId="77777777" w:rsidR="00AC670A" w:rsidRDefault="00AC670A" w:rsidP="00BB6A6F">
      <w:r>
        <w:separator/>
      </w:r>
    </w:p>
  </w:endnote>
  <w:endnote w:type="continuationSeparator" w:id="0">
    <w:p w14:paraId="24ADB502" w14:textId="77777777" w:rsidR="00AC670A" w:rsidRDefault="00AC670A" w:rsidP="00BB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196618"/>
      <w:docPartObj>
        <w:docPartGallery w:val="Page Numbers (Bottom of Page)"/>
        <w:docPartUnique/>
      </w:docPartObj>
    </w:sdtPr>
    <w:sdtEndPr>
      <w:rPr>
        <w:noProof/>
      </w:rPr>
    </w:sdtEndPr>
    <w:sdtContent>
      <w:p w14:paraId="746257EB" w14:textId="4A166343" w:rsidR="00B17A10" w:rsidRDefault="00B17A10" w:rsidP="00B17A10">
        <w:pPr>
          <w:pStyle w:val="Footer"/>
          <w:jc w:val="right"/>
        </w:pPr>
        <w:r>
          <w:fldChar w:fldCharType="begin"/>
        </w:r>
        <w:r>
          <w:instrText xml:space="preserve"> PAGE   \* MERGEFORMAT </w:instrText>
        </w:r>
        <w:r>
          <w:fldChar w:fldCharType="separate"/>
        </w:r>
        <w:r w:rsidR="00C82156">
          <w:rPr>
            <w:noProof/>
          </w:rPr>
          <w:t>2</w:t>
        </w:r>
        <w:r>
          <w:rPr>
            <w:noProof/>
          </w:rPr>
          <w:fldChar w:fldCharType="end"/>
        </w:r>
      </w:p>
    </w:sdtContent>
  </w:sdt>
  <w:p w14:paraId="649DFCD4" w14:textId="4A4747F2" w:rsidR="00B17A10" w:rsidRDefault="00B17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115725"/>
      <w:docPartObj>
        <w:docPartGallery w:val="Page Numbers (Bottom of Page)"/>
        <w:docPartUnique/>
      </w:docPartObj>
    </w:sdtPr>
    <w:sdtEndPr>
      <w:rPr>
        <w:noProof/>
      </w:rPr>
    </w:sdtEndPr>
    <w:sdtContent>
      <w:p w14:paraId="5E92DE20" w14:textId="061F82E3" w:rsidR="00BB6A6F" w:rsidRDefault="00BB6A6F">
        <w:pPr>
          <w:pStyle w:val="Footer"/>
          <w:jc w:val="right"/>
        </w:pPr>
        <w:r>
          <w:fldChar w:fldCharType="begin"/>
        </w:r>
        <w:r>
          <w:instrText xml:space="preserve"> PAGE   \* MERGEFORMAT </w:instrText>
        </w:r>
        <w:r>
          <w:fldChar w:fldCharType="separate"/>
        </w:r>
        <w:r w:rsidR="00C82156">
          <w:rPr>
            <w:noProof/>
          </w:rPr>
          <w:t>1</w:t>
        </w:r>
        <w:r>
          <w:rPr>
            <w:noProof/>
          </w:rPr>
          <w:fldChar w:fldCharType="end"/>
        </w:r>
      </w:p>
    </w:sdtContent>
  </w:sdt>
  <w:p w14:paraId="4C66B5F8" w14:textId="77777777" w:rsidR="00BB6A6F" w:rsidRDefault="00BB6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0A66A" w14:textId="77777777" w:rsidR="00AC670A" w:rsidRDefault="00AC670A" w:rsidP="00BB6A6F">
      <w:r>
        <w:separator/>
      </w:r>
    </w:p>
  </w:footnote>
  <w:footnote w:type="continuationSeparator" w:id="0">
    <w:p w14:paraId="4D29EA14" w14:textId="77777777" w:rsidR="00AC670A" w:rsidRDefault="00AC670A" w:rsidP="00BB6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6C6C" w14:textId="41B20B48" w:rsidR="00BB6A6F" w:rsidRDefault="00C82156" w:rsidP="00881D0A">
    <w:pPr>
      <w:pStyle w:val="Header"/>
      <w:jc w:val="right"/>
    </w:pPr>
    <w:r>
      <w:t>August 6</w:t>
    </w:r>
    <w:r w:rsidR="00881D0A">
      <w:t xml:space="preserve"> 2021</w:t>
    </w:r>
  </w:p>
  <w:p w14:paraId="5A7FEF44" w14:textId="77777777" w:rsidR="00881D0A" w:rsidRDefault="00881D0A" w:rsidP="00881D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791"/>
    <w:multiLevelType w:val="hybridMultilevel"/>
    <w:tmpl w:val="0344BC80"/>
    <w:lvl w:ilvl="0" w:tplc="07DA700C">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C34023"/>
    <w:multiLevelType w:val="hybridMultilevel"/>
    <w:tmpl w:val="A3B2579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421F83"/>
    <w:multiLevelType w:val="hybridMultilevel"/>
    <w:tmpl w:val="429E208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2B15CA"/>
    <w:multiLevelType w:val="hybridMultilevel"/>
    <w:tmpl w:val="87D8DD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12106B"/>
    <w:multiLevelType w:val="hybridMultilevel"/>
    <w:tmpl w:val="D1DEEEA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F64CF7"/>
    <w:multiLevelType w:val="hybridMultilevel"/>
    <w:tmpl w:val="EB1884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895240"/>
    <w:multiLevelType w:val="hybridMultilevel"/>
    <w:tmpl w:val="9858E446"/>
    <w:lvl w:ilvl="0" w:tplc="D18EE16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FD648B4"/>
    <w:multiLevelType w:val="hybridMultilevel"/>
    <w:tmpl w:val="E702C6E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8DA0DEB"/>
    <w:multiLevelType w:val="hybridMultilevel"/>
    <w:tmpl w:val="A2C2808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6F3428"/>
    <w:multiLevelType w:val="hybridMultilevel"/>
    <w:tmpl w:val="C046DAC2"/>
    <w:lvl w:ilvl="0" w:tplc="17BC0A2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B8B5455"/>
    <w:multiLevelType w:val="hybridMultilevel"/>
    <w:tmpl w:val="02D4DF58"/>
    <w:lvl w:ilvl="0" w:tplc="E34683B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AD440F"/>
    <w:multiLevelType w:val="hybridMultilevel"/>
    <w:tmpl w:val="39DE4CAC"/>
    <w:lvl w:ilvl="0" w:tplc="D610B102">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5F7327C"/>
    <w:multiLevelType w:val="hybridMultilevel"/>
    <w:tmpl w:val="EE608D44"/>
    <w:lvl w:ilvl="0" w:tplc="D9E0F252">
      <w:start w:val="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74B307E"/>
    <w:multiLevelType w:val="hybridMultilevel"/>
    <w:tmpl w:val="29003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4FF4FC0"/>
    <w:multiLevelType w:val="hybridMultilevel"/>
    <w:tmpl w:val="71425FD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A714352"/>
    <w:multiLevelType w:val="hybridMultilevel"/>
    <w:tmpl w:val="A1888B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3A9D64FC"/>
    <w:multiLevelType w:val="hybridMultilevel"/>
    <w:tmpl w:val="29B8FCF4"/>
    <w:lvl w:ilvl="0" w:tplc="E34683B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085C93"/>
    <w:multiLevelType w:val="hybridMultilevel"/>
    <w:tmpl w:val="A920D1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66717F9"/>
    <w:multiLevelType w:val="hybridMultilevel"/>
    <w:tmpl w:val="A04852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CC043B"/>
    <w:multiLevelType w:val="hybridMultilevel"/>
    <w:tmpl w:val="53F09EE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607059E"/>
    <w:multiLevelType w:val="hybridMultilevel"/>
    <w:tmpl w:val="46F80D9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6454B74"/>
    <w:multiLevelType w:val="hybridMultilevel"/>
    <w:tmpl w:val="9858E446"/>
    <w:lvl w:ilvl="0" w:tplc="D18EE16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C2304A6"/>
    <w:multiLevelType w:val="hybridMultilevel"/>
    <w:tmpl w:val="68A6411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D2E0827"/>
    <w:multiLevelType w:val="hybridMultilevel"/>
    <w:tmpl w:val="9858E446"/>
    <w:lvl w:ilvl="0" w:tplc="D18EE16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3614022"/>
    <w:multiLevelType w:val="hybridMultilevel"/>
    <w:tmpl w:val="D90E9F2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7B39EB"/>
    <w:multiLevelType w:val="hybridMultilevel"/>
    <w:tmpl w:val="26BEC86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8C56A3"/>
    <w:multiLevelType w:val="hybridMultilevel"/>
    <w:tmpl w:val="CB86805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DE1070"/>
    <w:multiLevelType w:val="hybridMultilevel"/>
    <w:tmpl w:val="67D6F562"/>
    <w:lvl w:ilvl="0" w:tplc="B89E212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700952E0"/>
    <w:multiLevelType w:val="hybridMultilevel"/>
    <w:tmpl w:val="7A2ED4F0"/>
    <w:lvl w:ilvl="0" w:tplc="79AC4458">
      <w:start w:val="1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9810FE8"/>
    <w:multiLevelType w:val="hybridMultilevel"/>
    <w:tmpl w:val="D3EEFA4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DF15F70"/>
    <w:multiLevelType w:val="hybridMultilevel"/>
    <w:tmpl w:val="310C1B9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10"/>
  </w:num>
  <w:num w:numId="3">
    <w:abstractNumId w:val="30"/>
  </w:num>
  <w:num w:numId="4">
    <w:abstractNumId w:val="14"/>
  </w:num>
  <w:num w:numId="5">
    <w:abstractNumId w:val="2"/>
  </w:num>
  <w:num w:numId="6">
    <w:abstractNumId w:val="20"/>
  </w:num>
  <w:num w:numId="7">
    <w:abstractNumId w:val="29"/>
  </w:num>
  <w:num w:numId="8">
    <w:abstractNumId w:val="7"/>
  </w:num>
  <w:num w:numId="9">
    <w:abstractNumId w:val="15"/>
  </w:num>
  <w:num w:numId="10">
    <w:abstractNumId w:val="3"/>
  </w:num>
  <w:num w:numId="11">
    <w:abstractNumId w:val="17"/>
  </w:num>
  <w:num w:numId="12">
    <w:abstractNumId w:val="21"/>
  </w:num>
  <w:num w:numId="13">
    <w:abstractNumId w:val="6"/>
  </w:num>
  <w:num w:numId="14">
    <w:abstractNumId w:val="23"/>
  </w:num>
  <w:num w:numId="15">
    <w:abstractNumId w:val="27"/>
  </w:num>
  <w:num w:numId="16">
    <w:abstractNumId w:val="18"/>
  </w:num>
  <w:num w:numId="17">
    <w:abstractNumId w:val="4"/>
  </w:num>
  <w:num w:numId="18">
    <w:abstractNumId w:val="24"/>
  </w:num>
  <w:num w:numId="19">
    <w:abstractNumId w:val="19"/>
  </w:num>
  <w:num w:numId="20">
    <w:abstractNumId w:val="28"/>
  </w:num>
  <w:num w:numId="21">
    <w:abstractNumId w:val="12"/>
  </w:num>
  <w:num w:numId="22">
    <w:abstractNumId w:val="25"/>
  </w:num>
  <w:num w:numId="23">
    <w:abstractNumId w:val="1"/>
  </w:num>
  <w:num w:numId="24">
    <w:abstractNumId w:val="11"/>
  </w:num>
  <w:num w:numId="25">
    <w:abstractNumId w:val="22"/>
  </w:num>
  <w:num w:numId="26">
    <w:abstractNumId w:val="0"/>
  </w:num>
  <w:num w:numId="27">
    <w:abstractNumId w:val="9"/>
  </w:num>
  <w:num w:numId="28">
    <w:abstractNumId w:val="8"/>
  </w:num>
  <w:num w:numId="29">
    <w:abstractNumId w:val="26"/>
  </w:num>
  <w:num w:numId="30">
    <w:abstractNumId w:val="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91"/>
    <w:rsid w:val="00005D9E"/>
    <w:rsid w:val="0000728D"/>
    <w:rsid w:val="0001149A"/>
    <w:rsid w:val="00044A28"/>
    <w:rsid w:val="00047FBC"/>
    <w:rsid w:val="000561F0"/>
    <w:rsid w:val="00070716"/>
    <w:rsid w:val="000A0B50"/>
    <w:rsid w:val="000D2B74"/>
    <w:rsid w:val="000D4CB2"/>
    <w:rsid w:val="000D51C2"/>
    <w:rsid w:val="00141DF4"/>
    <w:rsid w:val="00143AA6"/>
    <w:rsid w:val="00172E4F"/>
    <w:rsid w:val="001A2512"/>
    <w:rsid w:val="001A6588"/>
    <w:rsid w:val="001A77A7"/>
    <w:rsid w:val="001A7C94"/>
    <w:rsid w:val="001C18B3"/>
    <w:rsid w:val="001E761F"/>
    <w:rsid w:val="00202224"/>
    <w:rsid w:val="00204551"/>
    <w:rsid w:val="002045DC"/>
    <w:rsid w:val="002114DD"/>
    <w:rsid w:val="00235E5B"/>
    <w:rsid w:val="0024574F"/>
    <w:rsid w:val="00261F7A"/>
    <w:rsid w:val="0027103A"/>
    <w:rsid w:val="00287CF0"/>
    <w:rsid w:val="002D28D6"/>
    <w:rsid w:val="0030159E"/>
    <w:rsid w:val="00313E8A"/>
    <w:rsid w:val="0036422A"/>
    <w:rsid w:val="00374966"/>
    <w:rsid w:val="003C2C1C"/>
    <w:rsid w:val="003F37E4"/>
    <w:rsid w:val="003F3E90"/>
    <w:rsid w:val="0041048D"/>
    <w:rsid w:val="00410FDF"/>
    <w:rsid w:val="00451876"/>
    <w:rsid w:val="004861AF"/>
    <w:rsid w:val="004B4031"/>
    <w:rsid w:val="004E3FEA"/>
    <w:rsid w:val="00544ED8"/>
    <w:rsid w:val="005467A2"/>
    <w:rsid w:val="00556F2E"/>
    <w:rsid w:val="00563806"/>
    <w:rsid w:val="00565C3E"/>
    <w:rsid w:val="00576997"/>
    <w:rsid w:val="00577341"/>
    <w:rsid w:val="00596482"/>
    <w:rsid w:val="005C4034"/>
    <w:rsid w:val="005C7F38"/>
    <w:rsid w:val="005D6B8A"/>
    <w:rsid w:val="005E40B0"/>
    <w:rsid w:val="005F1826"/>
    <w:rsid w:val="005F3F28"/>
    <w:rsid w:val="00606EA1"/>
    <w:rsid w:val="00610F4C"/>
    <w:rsid w:val="006211DA"/>
    <w:rsid w:val="00643CB9"/>
    <w:rsid w:val="00644344"/>
    <w:rsid w:val="00646EAC"/>
    <w:rsid w:val="00663B55"/>
    <w:rsid w:val="00683B74"/>
    <w:rsid w:val="006A3B16"/>
    <w:rsid w:val="006D2A91"/>
    <w:rsid w:val="006F4955"/>
    <w:rsid w:val="0072596A"/>
    <w:rsid w:val="00751756"/>
    <w:rsid w:val="00760769"/>
    <w:rsid w:val="007A67D7"/>
    <w:rsid w:val="007B23E9"/>
    <w:rsid w:val="007F77F4"/>
    <w:rsid w:val="00824762"/>
    <w:rsid w:val="00824835"/>
    <w:rsid w:val="00825554"/>
    <w:rsid w:val="00872376"/>
    <w:rsid w:val="0087522C"/>
    <w:rsid w:val="00881D0A"/>
    <w:rsid w:val="00887CB1"/>
    <w:rsid w:val="008D4D7F"/>
    <w:rsid w:val="008E6011"/>
    <w:rsid w:val="008F463C"/>
    <w:rsid w:val="009338E4"/>
    <w:rsid w:val="00934E6C"/>
    <w:rsid w:val="009424D0"/>
    <w:rsid w:val="00964827"/>
    <w:rsid w:val="009720DF"/>
    <w:rsid w:val="009935FB"/>
    <w:rsid w:val="009A2785"/>
    <w:rsid w:val="009C6BF4"/>
    <w:rsid w:val="009E2675"/>
    <w:rsid w:val="009F44C0"/>
    <w:rsid w:val="009F6C4A"/>
    <w:rsid w:val="00A04687"/>
    <w:rsid w:val="00A127EB"/>
    <w:rsid w:val="00A2188A"/>
    <w:rsid w:val="00A43679"/>
    <w:rsid w:val="00A521F0"/>
    <w:rsid w:val="00A57B14"/>
    <w:rsid w:val="00A814E0"/>
    <w:rsid w:val="00AA65D4"/>
    <w:rsid w:val="00AC0E36"/>
    <w:rsid w:val="00AC20DC"/>
    <w:rsid w:val="00AC670A"/>
    <w:rsid w:val="00AE2172"/>
    <w:rsid w:val="00AE688C"/>
    <w:rsid w:val="00AF73E7"/>
    <w:rsid w:val="00B17A10"/>
    <w:rsid w:val="00B20937"/>
    <w:rsid w:val="00B86684"/>
    <w:rsid w:val="00BA7FC7"/>
    <w:rsid w:val="00BB0BD6"/>
    <w:rsid w:val="00BB6A6F"/>
    <w:rsid w:val="00BC7D68"/>
    <w:rsid w:val="00BD540B"/>
    <w:rsid w:val="00C043B7"/>
    <w:rsid w:val="00C05149"/>
    <w:rsid w:val="00C305C7"/>
    <w:rsid w:val="00C53A5E"/>
    <w:rsid w:val="00C7395F"/>
    <w:rsid w:val="00C76ECE"/>
    <w:rsid w:val="00C81A18"/>
    <w:rsid w:val="00C82156"/>
    <w:rsid w:val="00CA1192"/>
    <w:rsid w:val="00CC09A1"/>
    <w:rsid w:val="00D00A34"/>
    <w:rsid w:val="00D328C0"/>
    <w:rsid w:val="00D6510D"/>
    <w:rsid w:val="00D65E7B"/>
    <w:rsid w:val="00D70C5F"/>
    <w:rsid w:val="00D80961"/>
    <w:rsid w:val="00DB3C61"/>
    <w:rsid w:val="00DB514B"/>
    <w:rsid w:val="00DE0C53"/>
    <w:rsid w:val="00E04727"/>
    <w:rsid w:val="00E04C5D"/>
    <w:rsid w:val="00E33E62"/>
    <w:rsid w:val="00E72609"/>
    <w:rsid w:val="00E84F53"/>
    <w:rsid w:val="00EB7F8E"/>
    <w:rsid w:val="00EC1DC2"/>
    <w:rsid w:val="00EE5209"/>
    <w:rsid w:val="00EF0636"/>
    <w:rsid w:val="00EF50D6"/>
    <w:rsid w:val="00F10A9E"/>
    <w:rsid w:val="00F2583E"/>
    <w:rsid w:val="00F36A4B"/>
    <w:rsid w:val="00F4445F"/>
    <w:rsid w:val="00F46841"/>
    <w:rsid w:val="00F56BB8"/>
    <w:rsid w:val="00FD1500"/>
    <w:rsid w:val="00FD45B5"/>
    <w:rsid w:val="00FE03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70973"/>
  <w15:chartTrackingRefBased/>
  <w15:docId w15:val="{9A273011-F519-44B6-B415-264E5A6D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A9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styleId="Heading1">
    <w:name w:val="heading 1"/>
    <w:basedOn w:val="Normal"/>
    <w:next w:val="Normal"/>
    <w:link w:val="Heading1Char"/>
    <w:uiPriority w:val="9"/>
    <w:qFormat/>
    <w:rsid w:val="006D2A91"/>
    <w:pPr>
      <w:keepNext/>
      <w:keepLines/>
      <w:spacing w:before="240"/>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semiHidden/>
    <w:unhideWhenUsed/>
    <w:qFormat/>
    <w:rsid w:val="0024574F"/>
    <w:pPr>
      <w:keepNext/>
      <w:keepLines/>
      <w:overflowPunct/>
      <w:autoSpaceDE/>
      <w:autoSpaceDN/>
      <w:adjustRightInd/>
      <w:spacing w:before="40"/>
      <w:textAlignment w:val="auto"/>
      <w:outlineLvl w:val="1"/>
    </w:pPr>
    <w:rPr>
      <w:rFonts w:asciiTheme="majorHAnsi" w:eastAsiaTheme="majorEastAsia" w:hAnsiTheme="majorHAnsi" w:cstheme="majorBidi"/>
      <w:color w:val="2E74B5" w:themeColor="accent1" w:themeShade="BF"/>
      <w:sz w:val="26"/>
      <w:szCs w:val="26"/>
      <w:lang w:val="en-CA" w:eastAsia="en-US"/>
    </w:rPr>
  </w:style>
  <w:style w:type="paragraph" w:styleId="Heading3">
    <w:name w:val="heading 3"/>
    <w:basedOn w:val="Normal"/>
    <w:next w:val="Normal"/>
    <w:link w:val="Heading3Char"/>
    <w:uiPriority w:val="9"/>
    <w:semiHidden/>
    <w:unhideWhenUsed/>
    <w:qFormat/>
    <w:rsid w:val="0024574F"/>
    <w:pPr>
      <w:keepNext/>
      <w:keepLines/>
      <w:overflowPunct/>
      <w:autoSpaceDE/>
      <w:autoSpaceDN/>
      <w:adjustRightInd/>
      <w:spacing w:before="40"/>
      <w:textAlignment w:val="auto"/>
      <w:outlineLvl w:val="2"/>
    </w:pPr>
    <w:rPr>
      <w:rFonts w:asciiTheme="majorHAnsi" w:eastAsiaTheme="majorEastAsia" w:hAnsiTheme="majorHAnsi" w:cstheme="majorBidi"/>
      <w:color w:val="1F4D78" w:themeColor="accent1" w:themeShade="7F"/>
      <w:sz w:val="24"/>
      <w:szCs w:val="24"/>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A91"/>
    <w:pPr>
      <w:ind w:left="720"/>
      <w:contextualSpacing/>
    </w:pPr>
  </w:style>
  <w:style w:type="character" w:customStyle="1" w:styleId="Heading1Char">
    <w:name w:val="Heading 1 Char"/>
    <w:basedOn w:val="DefaultParagraphFont"/>
    <w:link w:val="Heading1"/>
    <w:uiPriority w:val="9"/>
    <w:rsid w:val="006D2A91"/>
    <w:rPr>
      <w:rFonts w:asciiTheme="majorHAnsi" w:eastAsiaTheme="majorEastAsia" w:hAnsiTheme="majorHAnsi" w:cstheme="majorBidi"/>
      <w:b/>
      <w:sz w:val="32"/>
      <w:szCs w:val="32"/>
      <w:u w:val="single"/>
      <w:lang w:val="en-US" w:eastAsia="en-CA"/>
    </w:rPr>
  </w:style>
  <w:style w:type="character" w:customStyle="1" w:styleId="Heading2Char">
    <w:name w:val="Heading 2 Char"/>
    <w:basedOn w:val="DefaultParagraphFont"/>
    <w:link w:val="Heading2"/>
    <w:uiPriority w:val="9"/>
    <w:semiHidden/>
    <w:rsid w:val="002457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4574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45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74F"/>
    <w:rPr>
      <w:color w:val="0563C1" w:themeColor="hyperlink"/>
      <w:u w:val="single"/>
    </w:rPr>
  </w:style>
  <w:style w:type="paragraph" w:customStyle="1" w:styleId="Default">
    <w:name w:val="Default"/>
    <w:rsid w:val="0024574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574F"/>
    <w:pPr>
      <w:tabs>
        <w:tab w:val="center" w:pos="4680"/>
        <w:tab w:val="right" w:pos="9360"/>
      </w:tabs>
      <w:overflowPunct/>
      <w:autoSpaceDE/>
      <w:autoSpaceDN/>
      <w:adjustRightInd/>
      <w:textAlignment w:val="auto"/>
    </w:pPr>
    <w:rPr>
      <w:rFonts w:ascii="Calibri" w:eastAsiaTheme="minorHAnsi" w:hAnsi="Calibri" w:cs="Calibri"/>
      <w:sz w:val="22"/>
      <w:szCs w:val="22"/>
      <w:lang w:val="en-CA" w:eastAsia="en-US"/>
    </w:rPr>
  </w:style>
  <w:style w:type="character" w:customStyle="1" w:styleId="HeaderChar">
    <w:name w:val="Header Char"/>
    <w:basedOn w:val="DefaultParagraphFont"/>
    <w:link w:val="Header"/>
    <w:uiPriority w:val="99"/>
    <w:rsid w:val="0024574F"/>
    <w:rPr>
      <w:rFonts w:ascii="Calibri" w:hAnsi="Calibri" w:cs="Calibri"/>
    </w:rPr>
  </w:style>
  <w:style w:type="paragraph" w:styleId="Footer">
    <w:name w:val="footer"/>
    <w:basedOn w:val="Normal"/>
    <w:link w:val="FooterChar"/>
    <w:uiPriority w:val="99"/>
    <w:unhideWhenUsed/>
    <w:rsid w:val="0024574F"/>
    <w:pPr>
      <w:tabs>
        <w:tab w:val="center" w:pos="4680"/>
        <w:tab w:val="right" w:pos="9360"/>
      </w:tabs>
      <w:overflowPunct/>
      <w:autoSpaceDE/>
      <w:autoSpaceDN/>
      <w:adjustRightInd/>
      <w:textAlignment w:val="auto"/>
    </w:pPr>
    <w:rPr>
      <w:rFonts w:ascii="Calibri" w:eastAsiaTheme="minorHAnsi" w:hAnsi="Calibri" w:cs="Calibri"/>
      <w:sz w:val="22"/>
      <w:szCs w:val="22"/>
      <w:lang w:val="en-CA" w:eastAsia="en-US"/>
    </w:rPr>
  </w:style>
  <w:style w:type="character" w:customStyle="1" w:styleId="FooterChar">
    <w:name w:val="Footer Char"/>
    <w:basedOn w:val="DefaultParagraphFont"/>
    <w:link w:val="Footer"/>
    <w:uiPriority w:val="99"/>
    <w:rsid w:val="0024574F"/>
    <w:rPr>
      <w:rFonts w:ascii="Calibri" w:hAnsi="Calibri" w:cs="Calibri"/>
    </w:rPr>
  </w:style>
  <w:style w:type="character" w:styleId="CommentReference">
    <w:name w:val="annotation reference"/>
    <w:aliases w:val="Comment Reference-GEM,Comment Reference-JWA"/>
    <w:basedOn w:val="DefaultParagraphFont"/>
    <w:uiPriority w:val="99"/>
    <w:unhideWhenUsed/>
    <w:qFormat/>
    <w:rsid w:val="0024574F"/>
    <w:rPr>
      <w:sz w:val="16"/>
      <w:szCs w:val="16"/>
    </w:rPr>
  </w:style>
  <w:style w:type="paragraph" w:styleId="CommentText">
    <w:name w:val="annotation text"/>
    <w:basedOn w:val="Normal"/>
    <w:link w:val="CommentTextChar"/>
    <w:uiPriority w:val="99"/>
    <w:semiHidden/>
    <w:unhideWhenUsed/>
    <w:rsid w:val="0024574F"/>
    <w:pPr>
      <w:overflowPunct/>
      <w:autoSpaceDE/>
      <w:autoSpaceDN/>
      <w:adjustRightInd/>
      <w:textAlignment w:val="auto"/>
    </w:pPr>
    <w:rPr>
      <w:rFonts w:ascii="Calibri" w:eastAsiaTheme="minorHAnsi" w:hAnsi="Calibri" w:cs="Calibri"/>
      <w:lang w:val="en-CA" w:eastAsia="en-US"/>
    </w:rPr>
  </w:style>
  <w:style w:type="character" w:customStyle="1" w:styleId="CommentTextChar">
    <w:name w:val="Comment Text Char"/>
    <w:basedOn w:val="DefaultParagraphFont"/>
    <w:link w:val="CommentText"/>
    <w:uiPriority w:val="99"/>
    <w:semiHidden/>
    <w:rsid w:val="0024574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4574F"/>
    <w:rPr>
      <w:b/>
      <w:bCs/>
    </w:rPr>
  </w:style>
  <w:style w:type="character" w:customStyle="1" w:styleId="CommentSubjectChar">
    <w:name w:val="Comment Subject Char"/>
    <w:basedOn w:val="CommentTextChar"/>
    <w:link w:val="CommentSubject"/>
    <w:uiPriority w:val="99"/>
    <w:semiHidden/>
    <w:rsid w:val="0024574F"/>
    <w:rPr>
      <w:rFonts w:ascii="Calibri" w:hAnsi="Calibri" w:cs="Calibri"/>
      <w:b/>
      <w:bCs/>
      <w:sz w:val="20"/>
      <w:szCs w:val="20"/>
    </w:rPr>
  </w:style>
  <w:style w:type="paragraph" w:styleId="BalloonText">
    <w:name w:val="Balloon Text"/>
    <w:basedOn w:val="Normal"/>
    <w:link w:val="BalloonTextChar"/>
    <w:uiPriority w:val="99"/>
    <w:semiHidden/>
    <w:unhideWhenUsed/>
    <w:rsid w:val="0024574F"/>
    <w:pPr>
      <w:overflowPunct/>
      <w:autoSpaceDE/>
      <w:autoSpaceDN/>
      <w:adjustRightInd/>
      <w:textAlignment w:val="auto"/>
    </w:pPr>
    <w:rPr>
      <w:rFonts w:ascii="Segoe UI" w:eastAsiaTheme="minorHAnsi" w:hAnsi="Segoe UI" w:cs="Segoe UI"/>
      <w:sz w:val="18"/>
      <w:szCs w:val="18"/>
      <w:lang w:val="en-CA" w:eastAsia="en-US"/>
    </w:rPr>
  </w:style>
  <w:style w:type="character" w:customStyle="1" w:styleId="BalloonTextChar">
    <w:name w:val="Balloon Text Char"/>
    <w:basedOn w:val="DefaultParagraphFont"/>
    <w:link w:val="BalloonText"/>
    <w:uiPriority w:val="99"/>
    <w:semiHidden/>
    <w:rsid w:val="0024574F"/>
    <w:rPr>
      <w:rFonts w:ascii="Segoe UI" w:hAnsi="Segoe UI" w:cs="Segoe UI"/>
      <w:sz w:val="18"/>
      <w:szCs w:val="18"/>
    </w:rPr>
  </w:style>
  <w:style w:type="numbering" w:customStyle="1" w:styleId="NoList1">
    <w:name w:val="No List1"/>
    <w:next w:val="NoList"/>
    <w:uiPriority w:val="99"/>
    <w:semiHidden/>
    <w:unhideWhenUsed/>
    <w:rsid w:val="0024574F"/>
  </w:style>
  <w:style w:type="table" w:customStyle="1" w:styleId="TableGrid1">
    <w:name w:val="Table Grid1"/>
    <w:basedOn w:val="TableNormal"/>
    <w:next w:val="TableGrid"/>
    <w:uiPriority w:val="39"/>
    <w:rsid w:val="00245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0C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576743">
      <w:bodyDiv w:val="1"/>
      <w:marLeft w:val="0"/>
      <w:marRight w:val="0"/>
      <w:marTop w:val="0"/>
      <w:marBottom w:val="0"/>
      <w:divBdr>
        <w:top w:val="none" w:sz="0" w:space="0" w:color="auto"/>
        <w:left w:val="none" w:sz="0" w:space="0" w:color="auto"/>
        <w:bottom w:val="none" w:sz="0" w:space="0" w:color="auto"/>
        <w:right w:val="none" w:sz="0" w:space="0" w:color="auto"/>
      </w:divBdr>
    </w:div>
    <w:div w:id="212966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environment-climate-change/services/managing-pollution/sources-industry/proposed-coal-mining-effluent-regulation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7A2AF-9E75-4CB0-AA14-41A9DF5F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1878</Words>
  <Characters>10708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Fitzpatrick,Stephen [CEAA]</dc:creator>
  <cp:keywords/>
  <dc:description/>
  <cp:lastModifiedBy>Anderson,Candace (IAAC/AEIC)</cp:lastModifiedBy>
  <cp:revision>8</cp:revision>
  <dcterms:created xsi:type="dcterms:W3CDTF">2021-07-21T19:34:00Z</dcterms:created>
  <dcterms:modified xsi:type="dcterms:W3CDTF">2021-08-06T17:18:00Z</dcterms:modified>
</cp:coreProperties>
</file>